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 w:before="120" w:after="120"/>
        <w:jc w:val="center"/>
        <w:outlineLvl w:val="1"/>
        <w:rPr>
          <w:highlight w:val="none"/>
          <w:shd w:fill="auto" w:val="clear"/>
        </w:rPr>
      </w:pPr>
      <w:r>
        <w:rPr>
          <w:rFonts w:eastAsia="" w:cs="Times New Roman" w:ascii="Times New Roman" w:hAnsi="Times New Roman" w:eastAsiaTheme="majorEastAsia"/>
          <w:sz w:val="28"/>
          <w:szCs w:val="28"/>
          <w:shd w:fill="auto" w:val="clear"/>
        </w:rPr>
        <w:t>Раздел 3. Целевые показатели по обезвреживанию, утилизации и размещению отходов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 w:eastAsia="" w:cs="Times New Roman" w:eastAsiaTheme="majorEastAsia"/>
          <w:b/>
          <w:sz w:val="28"/>
          <w:szCs w:val="28"/>
          <w:highlight w:val="none"/>
          <w:shd w:fill="auto" w:val="clear"/>
        </w:rPr>
      </w:pPr>
      <w:r>
        <w:rPr>
          <w:rFonts w:eastAsia="" w:cs="Times New Roman" w:eastAsiaTheme="majorEastAsia" w:ascii="Times New Roman" w:hAnsi="Times New Roman"/>
          <w:b/>
          <w:sz w:val="28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09"/>
        <w:jc w:val="both"/>
        <w:outlineLvl w:val="1"/>
        <w:rPr/>
      </w:pPr>
      <w:r>
        <w:rPr>
          <w:rFonts w:eastAsia="" w:cs="Times New Roman" w:ascii="Times New Roman" w:hAnsi="Times New Roman" w:eastAsiaTheme="majorEastAsia"/>
          <w:sz w:val="28"/>
          <w:szCs w:val="28"/>
          <w:shd w:fill="auto" w:val="clear"/>
        </w:rPr>
        <w:t>В соответствии с Правилами разработки, общественного обсуждения, утверждения, корректировки территориальных схем в области обращения с отходами производства и потребления, в том числе с твердыми коммунальными отходами, а также требований к составу и содержанию таких схем, утвержденных п</w:t>
      </w:r>
      <w:r>
        <w:rPr>
          <w:rStyle w:val="Emphasis"/>
          <w:rFonts w:eastAsia="" w:cs="Times New Roman" w:ascii="Times New Roman" w:hAnsi="Times New Roman" w:eastAsiaTheme="majorEastAsia"/>
          <w:i w:val="false"/>
          <w:iCs w:val="false"/>
          <w:sz w:val="28"/>
          <w:szCs w:val="28"/>
          <w:shd w:fill="auto" w:val="clear"/>
        </w:rPr>
        <w:t>остановлением</w:t>
      </w:r>
      <w:r>
        <w:rPr>
          <w:rFonts w:eastAsia="" w:cs="Times New Roman" w:ascii="Times New Roman" w:hAnsi="Times New Roman" w:eastAsiaTheme="majorEastAsia"/>
          <w:sz w:val="28"/>
          <w:szCs w:val="28"/>
          <w:shd w:fill="auto" w:val="clear"/>
        </w:rPr>
        <w:t xml:space="preserve"> </w:t>
      </w:r>
      <w:r>
        <w:rPr>
          <w:rStyle w:val="Emphasis"/>
          <w:rFonts w:eastAsia="" w:cs="Times New Roman" w:ascii="Times New Roman" w:hAnsi="Times New Roman" w:eastAsiaTheme="majorEastAsia"/>
          <w:i w:val="false"/>
          <w:iCs w:val="false"/>
          <w:sz w:val="28"/>
          <w:szCs w:val="28"/>
          <w:shd w:fill="auto" w:val="clear"/>
        </w:rPr>
        <w:t>Правительства</w:t>
      </w:r>
      <w:r>
        <w:rPr>
          <w:rFonts w:eastAsia="" w:cs="Times New Roman" w:ascii="Times New Roman" w:hAnsi="Times New Roman" w:eastAsiaTheme="majorEastAsia"/>
          <w:sz w:val="28"/>
          <w:szCs w:val="28"/>
          <w:shd w:fill="auto" w:val="clear"/>
        </w:rPr>
        <w:t xml:space="preserve"> Российской Федерации от 22 сентября 2018 г. № </w:t>
      </w:r>
      <w:r>
        <w:rPr>
          <w:rStyle w:val="Emphasis"/>
          <w:rFonts w:eastAsia="" w:cs="Times New Roman" w:ascii="Times New Roman" w:hAnsi="Times New Roman" w:eastAsiaTheme="majorEastAsia"/>
          <w:i w:val="false"/>
          <w:iCs w:val="false"/>
          <w:sz w:val="28"/>
          <w:szCs w:val="28"/>
          <w:shd w:fill="auto" w:val="clear"/>
        </w:rPr>
        <w:t>1130,</w:t>
      </w:r>
      <w:r>
        <w:rPr>
          <w:rFonts w:eastAsia="" w:cs="Times New Roman" w:ascii="Times New Roman" w:hAnsi="Times New Roman" w:eastAsiaTheme="majorEastAsia"/>
          <w:sz w:val="28"/>
          <w:szCs w:val="28"/>
          <w:shd w:fill="auto" w:val="clear"/>
        </w:rPr>
        <w:t xml:space="preserve">  раздел 3 «Целевые показатели по обезвреживанию, утилизации и размещению отходов» содержит: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09"/>
        <w:jc w:val="both"/>
        <w:outlineLvl w:val="1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а) об установленных в субъекте Российской Федерации целевых показателях по обезвреживанию, утилизации и размещению отходов (с разбивкой по годам) и о достигнутых значениях указанных целевых показателей (на дату утверждения территориальной схемы);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09"/>
        <w:jc w:val="both"/>
        <w:outlineLvl w:val="1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б) о доле обезвреженных и утилизированных отходов в общем количестве образованных отходов I - V классов опасности (процентов);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09"/>
        <w:jc w:val="both"/>
        <w:outlineLvl w:val="1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в) о доле обезвреженных твердых коммунальных отходов в общем количестве образованных твердых коммунальных отходов (процентов);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09"/>
        <w:jc w:val="both"/>
        <w:outlineLvl w:val="1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г) о доле утилизированных твердых коммунальных отходов в общем количестве образованных твердых коммунальных отходов (процентов);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09"/>
        <w:jc w:val="both"/>
        <w:outlineLvl w:val="1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д) о доле обработанных твердых коммунальных отходов в общем количестве образованных твердых коммунальных отходов (процентов);</w:t>
      </w:r>
    </w:p>
    <w:p>
      <w:pPr>
        <w:sectPr>
          <w:type w:val="nextPage"/>
          <w:pgSz w:w="11906" w:h="16838"/>
          <w:pgMar w:left="1417" w:right="850" w:gutter="0" w:header="0" w:top="1134" w:footer="0" w:bottom="1134"/>
          <w:pgNumType w:fmt="decimal"/>
          <w:formProt w:val="false"/>
          <w:textDirection w:val="lrTb"/>
          <w:docGrid w:type="default" w:linePitch="240" w:charSpace="0"/>
        </w:sectPr>
        <w:pStyle w:val="Normal"/>
        <w:numPr>
          <w:ilvl w:val="0"/>
          <w:numId w:val="0"/>
        </w:numPr>
        <w:spacing w:lineRule="auto" w:line="240" w:before="0" w:after="0"/>
        <w:ind w:firstLine="709"/>
        <w:jc w:val="both"/>
        <w:outlineLvl w:val="1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е) о доле захороненных твердых коммунальных отходов в общем количестве образованных твердых коммунальных отходов (процентов).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09"/>
        <w:jc w:val="center"/>
        <w:outlineLvl w:val="1"/>
        <w:rPr>
          <w:highlight w:val="none"/>
          <w:shd w:fill="auto" w:val="clear"/>
        </w:rPr>
      </w:pPr>
      <w:r>
        <w:rPr>
          <w:rFonts w:eastAsia="" w:cs="Times New Roman" w:ascii="Times New Roman" w:hAnsi="Times New Roman" w:eastAsiaTheme="majorEastAsia"/>
          <w:sz w:val="24"/>
          <w:szCs w:val="28"/>
          <w:shd w:fill="auto" w:val="clear"/>
        </w:rPr>
        <w:t>Федеральный проект «Комплексная система обращения с твердыми коммунальными отходами»</w:t>
      </w:r>
    </w:p>
    <w:tbl>
      <w:tblPr>
        <w:tblW w:w="14571" w:type="dxa"/>
        <w:jc w:val="left"/>
        <w:tblInd w:w="2" w:type="dxa"/>
        <w:tblLayout w:type="fixed"/>
        <w:tblCellMar>
          <w:top w:w="28" w:type="dxa"/>
          <w:left w:w="2" w:type="dxa"/>
          <w:bottom w:w="28" w:type="dxa"/>
          <w:right w:w="12" w:type="dxa"/>
        </w:tblCellMar>
        <w:tblLook w:firstRow="1" w:noVBand="1" w:lastRow="0" w:firstColumn="1" w:lastColumn="0" w:noHBand="0" w:val="04a0"/>
      </w:tblPr>
      <w:tblGrid>
        <w:gridCol w:w="8344"/>
        <w:gridCol w:w="953"/>
        <w:gridCol w:w="854"/>
        <w:gridCol w:w="647"/>
        <w:gridCol w:w="641"/>
        <w:gridCol w:w="656"/>
        <w:gridCol w:w="645"/>
        <w:gridCol w:w="642"/>
        <w:gridCol w:w="641"/>
        <w:gridCol w:w="546"/>
      </w:tblGrid>
      <w:tr>
        <w:trPr>
          <w:trHeight w:val="41" w:hRule="atLeast"/>
        </w:trPr>
        <w:tc>
          <w:tcPr>
            <w:tcW w:w="8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Субъект Российской Федерации Челябинская область</w:t>
            </w:r>
          </w:p>
        </w:tc>
        <w:tc>
          <w:tcPr>
            <w:tcW w:w="180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Базовое значение</w:t>
            </w:r>
          </w:p>
        </w:tc>
        <w:tc>
          <w:tcPr>
            <w:tcW w:w="4418" w:type="dxa"/>
            <w:gridSpan w:val="7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Период реализации федерального проекта, год</w:t>
            </w:r>
          </w:p>
        </w:tc>
      </w:tr>
      <w:tr>
        <w:trPr>
          <w:trHeight w:val="41" w:hRule="atLeast"/>
        </w:trPr>
        <w:tc>
          <w:tcPr>
            <w:tcW w:w="8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9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Значение</w:t>
            </w:r>
          </w:p>
        </w:tc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дата</w:t>
            </w:r>
          </w:p>
        </w:tc>
        <w:tc>
          <w:tcPr>
            <w:tcW w:w="6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2018</w:t>
            </w:r>
          </w:p>
        </w:tc>
        <w:tc>
          <w:tcPr>
            <w:tcW w:w="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2019</w:t>
            </w:r>
          </w:p>
        </w:tc>
        <w:tc>
          <w:tcPr>
            <w:tcW w:w="6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2020</w:t>
            </w:r>
          </w:p>
        </w:tc>
        <w:tc>
          <w:tcPr>
            <w:tcW w:w="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2021</w:t>
            </w:r>
          </w:p>
        </w:tc>
        <w:tc>
          <w:tcPr>
            <w:tcW w:w="6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2022</w:t>
            </w:r>
          </w:p>
        </w:tc>
        <w:tc>
          <w:tcPr>
            <w:tcW w:w="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2023</w:t>
            </w:r>
          </w:p>
        </w:tc>
        <w:tc>
          <w:tcPr>
            <w:tcW w:w="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2024</w:t>
            </w:r>
          </w:p>
        </w:tc>
      </w:tr>
      <w:tr>
        <w:trPr>
          <w:trHeight w:val="383" w:hRule="atLeast"/>
        </w:trPr>
        <w:tc>
          <w:tcPr>
            <w:tcW w:w="8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Доля направленных на захоронение твердых коммунальных отходов, в том числе прошедших обработку (сортировку), в общей массе образованных твердых коммунальных отходов</w:t>
            </w:r>
          </w:p>
        </w:tc>
        <w:tc>
          <w:tcPr>
            <w:tcW w:w="9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процент</w:t>
            </w:r>
          </w:p>
        </w:tc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98,7</w:t>
            </w:r>
          </w:p>
        </w:tc>
        <w:tc>
          <w:tcPr>
            <w:tcW w:w="6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09.18</w:t>
            </w:r>
          </w:p>
        </w:tc>
        <w:tc>
          <w:tcPr>
            <w:tcW w:w="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98,4</w:t>
            </w:r>
          </w:p>
        </w:tc>
        <w:tc>
          <w:tcPr>
            <w:tcW w:w="6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98,3</w:t>
            </w:r>
          </w:p>
        </w:tc>
        <w:tc>
          <w:tcPr>
            <w:tcW w:w="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96,3</w:t>
            </w:r>
          </w:p>
        </w:tc>
        <w:tc>
          <w:tcPr>
            <w:tcW w:w="6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93,5</w:t>
            </w:r>
          </w:p>
        </w:tc>
        <w:tc>
          <w:tcPr>
            <w:tcW w:w="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91,5</w:t>
            </w:r>
          </w:p>
        </w:tc>
        <w:tc>
          <w:tcPr>
            <w:tcW w:w="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87,5</w:t>
            </w:r>
          </w:p>
        </w:tc>
      </w:tr>
      <w:tr>
        <w:trPr>
          <w:trHeight w:val="105" w:hRule="atLeast"/>
        </w:trPr>
        <w:tc>
          <w:tcPr>
            <w:tcW w:w="8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Доля направленных на утилизацию и обезвреживание отходов, в том числе выделенных в результате раздельного накопления и (или) обработки (сортировки) твердых коммунальных отходов, в общей массе образованных твердых коммунальных отходов</w:t>
            </w:r>
          </w:p>
        </w:tc>
        <w:tc>
          <w:tcPr>
            <w:tcW w:w="9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процент</w:t>
            </w:r>
          </w:p>
        </w:tc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1,3</w:t>
            </w:r>
          </w:p>
        </w:tc>
        <w:tc>
          <w:tcPr>
            <w:tcW w:w="6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09.18</w:t>
            </w:r>
          </w:p>
        </w:tc>
        <w:tc>
          <w:tcPr>
            <w:tcW w:w="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1,6</w:t>
            </w:r>
          </w:p>
        </w:tc>
        <w:tc>
          <w:tcPr>
            <w:tcW w:w="6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1,7</w:t>
            </w:r>
          </w:p>
        </w:tc>
        <w:tc>
          <w:tcPr>
            <w:tcW w:w="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3,7</w:t>
            </w:r>
          </w:p>
        </w:tc>
        <w:tc>
          <w:tcPr>
            <w:tcW w:w="6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6,5</w:t>
            </w:r>
          </w:p>
        </w:tc>
        <w:tc>
          <w:tcPr>
            <w:tcW w:w="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8,5</w:t>
            </w:r>
          </w:p>
        </w:tc>
        <w:tc>
          <w:tcPr>
            <w:tcW w:w="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12,5</w:t>
            </w:r>
          </w:p>
        </w:tc>
      </w:tr>
      <w:tr>
        <w:trPr>
          <w:trHeight w:val="105" w:hRule="atLeast"/>
        </w:trPr>
        <w:tc>
          <w:tcPr>
            <w:tcW w:w="83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Доля твердых коммунальных отходов, направленных на обработку (сортировку), в общей массе образованных твердых коммунальных отходов</w:t>
            </w:r>
          </w:p>
        </w:tc>
        <w:tc>
          <w:tcPr>
            <w:tcW w:w="9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процент</w:t>
            </w:r>
          </w:p>
        </w:tc>
        <w:tc>
          <w:tcPr>
            <w:tcW w:w="8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6,1</w:t>
            </w:r>
          </w:p>
        </w:tc>
        <w:tc>
          <w:tcPr>
            <w:tcW w:w="6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09.18</w:t>
            </w:r>
          </w:p>
        </w:tc>
        <w:tc>
          <w:tcPr>
            <w:tcW w:w="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11,6</w:t>
            </w:r>
          </w:p>
        </w:tc>
        <w:tc>
          <w:tcPr>
            <w:tcW w:w="6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19,4</w:t>
            </w:r>
          </w:p>
        </w:tc>
        <w:tc>
          <w:tcPr>
            <w:tcW w:w="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32,8</w:t>
            </w:r>
          </w:p>
        </w:tc>
        <w:tc>
          <w:tcPr>
            <w:tcW w:w="6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43,0</w:t>
            </w:r>
          </w:p>
        </w:tc>
        <w:tc>
          <w:tcPr>
            <w:tcW w:w="6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60,0</w:t>
            </w:r>
          </w:p>
        </w:tc>
        <w:tc>
          <w:tcPr>
            <w:tcW w:w="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68,0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1"/>
        <w:rPr>
          <w:highlight w:val="none"/>
          <w:shd w:fill="auto" w:val="clear"/>
        </w:rPr>
      </w:pPr>
      <w:r>
        <w:rPr>
          <w:rFonts w:eastAsia="" w:cs="Times New Roman" w:ascii="Times New Roman" w:hAnsi="Times New Roman" w:eastAsiaTheme="majorEastAsia"/>
          <w:b/>
          <w:bCs/>
          <w:sz w:val="28"/>
          <w:szCs w:val="28"/>
          <w:shd w:fill="auto" w:val="clear"/>
        </w:rPr>
        <w:tab/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1"/>
        <w:rPr>
          <w:highlight w:val="none"/>
          <w:shd w:fill="auto" w:val="clear"/>
        </w:rPr>
      </w:pPr>
      <w:r>
        <w:rPr>
          <w:rFonts w:eastAsia="" w:cs="Times New Roman" w:ascii="Times New Roman" w:hAnsi="Times New Roman" w:eastAsiaTheme="majorEastAsia"/>
          <w:sz w:val="24"/>
          <w:szCs w:val="28"/>
          <w:shd w:fill="auto" w:val="clear"/>
        </w:rPr>
        <w:t>Региональный проект «Формирование комплексной системы обращения с твердыми коммунальными отходами (Челябинская область)»</w:t>
      </w:r>
    </w:p>
    <w:tbl>
      <w:tblPr>
        <w:tblW w:w="14571" w:type="dxa"/>
        <w:jc w:val="left"/>
        <w:tblInd w:w="2" w:type="dxa"/>
        <w:tblLayout w:type="fixed"/>
        <w:tblCellMar>
          <w:top w:w="28" w:type="dxa"/>
          <w:left w:w="2" w:type="dxa"/>
          <w:bottom w:w="28" w:type="dxa"/>
          <w:right w:w="12" w:type="dxa"/>
        </w:tblCellMar>
        <w:tblLook w:firstRow="1" w:noVBand="1" w:lastRow="0" w:firstColumn="1" w:lastColumn="0" w:noHBand="0" w:val="04a0"/>
      </w:tblPr>
      <w:tblGrid>
        <w:gridCol w:w="7043"/>
        <w:gridCol w:w="1125"/>
        <w:gridCol w:w="800"/>
        <w:gridCol w:w="916"/>
        <w:gridCol w:w="732"/>
        <w:gridCol w:w="743"/>
        <w:gridCol w:w="819"/>
        <w:gridCol w:w="803"/>
        <w:gridCol w:w="800"/>
        <w:gridCol w:w="788"/>
      </w:tblGrid>
      <w:tr>
        <w:trPr>
          <w:trHeight w:val="120" w:hRule="atLeast"/>
        </w:trPr>
        <w:tc>
          <w:tcPr>
            <w:tcW w:w="704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Наименование показателя</w:t>
            </w:r>
          </w:p>
        </w:tc>
        <w:tc>
          <w:tcPr>
            <w:tcW w:w="112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Единица измерения (по ОКЕИ)</w:t>
            </w:r>
          </w:p>
        </w:tc>
        <w:tc>
          <w:tcPr>
            <w:tcW w:w="1716" w:type="dxa"/>
            <w:gridSpan w:val="2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Базовое значение</w:t>
            </w:r>
          </w:p>
        </w:tc>
        <w:tc>
          <w:tcPr>
            <w:tcW w:w="4685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Период, год значение дата</w:t>
            </w:r>
          </w:p>
        </w:tc>
      </w:tr>
      <w:tr>
        <w:trPr>
          <w:trHeight w:val="41" w:hRule="atLeast"/>
        </w:trPr>
        <w:tc>
          <w:tcPr>
            <w:tcW w:w="7043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12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716" w:type="dxa"/>
            <w:gridSpan w:val="2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7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2019</w:t>
            </w:r>
          </w:p>
        </w:tc>
        <w:tc>
          <w:tcPr>
            <w:tcW w:w="7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2020</w:t>
            </w:r>
          </w:p>
        </w:tc>
        <w:tc>
          <w:tcPr>
            <w:tcW w:w="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2021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2022</w:t>
            </w:r>
          </w:p>
        </w:tc>
        <w:tc>
          <w:tcPr>
            <w:tcW w:w="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2023</w:t>
            </w:r>
          </w:p>
        </w:tc>
        <w:tc>
          <w:tcPr>
            <w:tcW w:w="7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2024</w:t>
            </w:r>
          </w:p>
        </w:tc>
      </w:tr>
      <w:tr>
        <w:trPr>
          <w:trHeight w:val="120" w:hRule="atLeast"/>
        </w:trPr>
        <w:tc>
          <w:tcPr>
            <w:tcW w:w="70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Доля направленных на захоронение твердых коммунальных отходов, в том числе прошедших обработку (сортировку), в общей массе образованных твердых коммунальных отходов</w:t>
            </w:r>
          </w:p>
        </w:tc>
        <w:tc>
          <w:tcPr>
            <w:tcW w:w="11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процент</w:t>
            </w:r>
          </w:p>
        </w:tc>
        <w:tc>
          <w:tcPr>
            <w:tcW w:w="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98,7</w:t>
            </w:r>
          </w:p>
        </w:tc>
        <w:tc>
          <w:tcPr>
            <w:tcW w:w="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09.18</w:t>
            </w:r>
          </w:p>
        </w:tc>
        <w:tc>
          <w:tcPr>
            <w:tcW w:w="7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98,4</w:t>
            </w:r>
          </w:p>
        </w:tc>
        <w:tc>
          <w:tcPr>
            <w:tcW w:w="7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98,3</w:t>
            </w:r>
          </w:p>
        </w:tc>
        <w:tc>
          <w:tcPr>
            <w:tcW w:w="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96,3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93,5</w:t>
            </w:r>
          </w:p>
        </w:tc>
        <w:tc>
          <w:tcPr>
            <w:tcW w:w="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91,5</w:t>
            </w:r>
          </w:p>
        </w:tc>
        <w:tc>
          <w:tcPr>
            <w:tcW w:w="7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87,5</w:t>
            </w:r>
          </w:p>
        </w:tc>
      </w:tr>
      <w:tr>
        <w:trPr>
          <w:trHeight w:val="120" w:hRule="atLeast"/>
        </w:trPr>
        <w:tc>
          <w:tcPr>
            <w:tcW w:w="70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Доля направленных на утилизацию и обезвреживание отходов, в том числе выделенных в результате раздельного накопления и (или) обработки (сортировки) твердых коммунальных отходов, в общей массе образованных твердых коммунальных отходов</w:t>
            </w:r>
          </w:p>
        </w:tc>
        <w:tc>
          <w:tcPr>
            <w:tcW w:w="11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процент</w:t>
            </w:r>
          </w:p>
        </w:tc>
        <w:tc>
          <w:tcPr>
            <w:tcW w:w="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1,3</w:t>
            </w:r>
          </w:p>
        </w:tc>
        <w:tc>
          <w:tcPr>
            <w:tcW w:w="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09.18</w:t>
            </w:r>
          </w:p>
        </w:tc>
        <w:tc>
          <w:tcPr>
            <w:tcW w:w="7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1,6</w:t>
            </w:r>
          </w:p>
        </w:tc>
        <w:tc>
          <w:tcPr>
            <w:tcW w:w="7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1,7</w:t>
            </w:r>
          </w:p>
        </w:tc>
        <w:tc>
          <w:tcPr>
            <w:tcW w:w="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3,7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6,5</w:t>
            </w:r>
          </w:p>
        </w:tc>
        <w:tc>
          <w:tcPr>
            <w:tcW w:w="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8,5</w:t>
            </w:r>
          </w:p>
        </w:tc>
        <w:tc>
          <w:tcPr>
            <w:tcW w:w="7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12,5</w:t>
            </w:r>
          </w:p>
        </w:tc>
      </w:tr>
      <w:tr>
        <w:trPr>
          <w:trHeight w:val="120" w:hRule="atLeast"/>
        </w:trPr>
        <w:tc>
          <w:tcPr>
            <w:tcW w:w="70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Доля твердых коммунальных отходов, направленных на обработку (сортировку), в общей массе образованных твердых коммунальных отходов</w:t>
            </w:r>
          </w:p>
        </w:tc>
        <w:tc>
          <w:tcPr>
            <w:tcW w:w="11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процент</w:t>
            </w:r>
          </w:p>
        </w:tc>
        <w:tc>
          <w:tcPr>
            <w:tcW w:w="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6,1</w:t>
            </w:r>
          </w:p>
        </w:tc>
        <w:tc>
          <w:tcPr>
            <w:tcW w:w="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09.18</w:t>
            </w:r>
          </w:p>
        </w:tc>
        <w:tc>
          <w:tcPr>
            <w:tcW w:w="7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11,6</w:t>
            </w:r>
          </w:p>
        </w:tc>
        <w:tc>
          <w:tcPr>
            <w:tcW w:w="7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19,4</w:t>
            </w:r>
          </w:p>
        </w:tc>
        <w:tc>
          <w:tcPr>
            <w:tcW w:w="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32,8</w:t>
            </w:r>
          </w:p>
        </w:tc>
        <w:tc>
          <w:tcPr>
            <w:tcW w:w="8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43</w:t>
            </w:r>
          </w:p>
        </w:tc>
        <w:tc>
          <w:tcPr>
            <w:tcW w:w="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60,0</w:t>
            </w:r>
          </w:p>
        </w:tc>
        <w:tc>
          <w:tcPr>
            <w:tcW w:w="7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68,0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firstLine="709"/>
        <w:jc w:val="center"/>
        <w:outlineLvl w:val="1"/>
        <w:rPr>
          <w:highlight w:val="none"/>
          <w:shd w:fill="auto" w:val="clear"/>
        </w:rPr>
      </w:pPr>
      <w:r>
        <w:rPr>
          <w:rFonts w:eastAsia="" w:cs="Times New Roman" w:ascii="Times New Roman" w:hAnsi="Times New Roman" w:eastAsiaTheme="majorEastAsia"/>
          <w:sz w:val="24"/>
          <w:szCs w:val="28"/>
          <w:shd w:fill="auto" w:val="clear"/>
        </w:rPr>
        <w:t>Стратегия социально-экономического развития Челябинской области до 2035 года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09"/>
        <w:jc w:val="center"/>
        <w:outlineLvl w:val="1"/>
        <w:rPr>
          <w:highlight w:val="none"/>
          <w:shd w:fill="auto" w:val="clear"/>
        </w:rPr>
      </w:pPr>
      <w:r>
        <w:rPr>
          <w:rFonts w:eastAsia="" w:cs="Times New Roman" w:ascii="Times New Roman" w:hAnsi="Times New Roman" w:eastAsiaTheme="majorEastAsia"/>
          <w:sz w:val="24"/>
          <w:szCs w:val="28"/>
          <w:shd w:fill="auto" w:val="clear"/>
        </w:rPr>
        <w:t>(утверждена постановлением Законодательного Собрания Челябинской области от 31 января 2019 года № 1748)</w:t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" w:type="dxa"/>
          <w:bottom w:w="28" w:type="dxa"/>
          <w:right w:w="12" w:type="dxa"/>
        </w:tblCellMar>
        <w:tblLook w:firstRow="1" w:noVBand="1" w:lastRow="0" w:firstColumn="1" w:lastColumn="0" w:noHBand="0" w:val="04a0"/>
      </w:tblPr>
      <w:tblGrid>
        <w:gridCol w:w="1764"/>
        <w:gridCol w:w="1113"/>
        <w:gridCol w:w="1244"/>
        <w:gridCol w:w="653"/>
        <w:gridCol w:w="653"/>
        <w:gridCol w:w="654"/>
        <w:gridCol w:w="652"/>
        <w:gridCol w:w="652"/>
        <w:gridCol w:w="653"/>
        <w:gridCol w:w="655"/>
        <w:gridCol w:w="649"/>
        <w:gridCol w:w="652"/>
        <w:gridCol w:w="654"/>
        <w:gridCol w:w="654"/>
        <w:gridCol w:w="653"/>
        <w:gridCol w:w="653"/>
        <w:gridCol w:w="654"/>
        <w:gridCol w:w="653"/>
        <w:gridCol w:w="655"/>
      </w:tblGrid>
      <w:tr>
        <w:trPr>
          <w:trHeight w:val="120" w:hRule="atLeast"/>
        </w:trPr>
        <w:tc>
          <w:tcPr>
            <w:tcW w:w="176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Показатель</w:t>
            </w:r>
          </w:p>
        </w:tc>
        <w:tc>
          <w:tcPr>
            <w:tcW w:w="111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Единица измерения</w:t>
            </w:r>
          </w:p>
        </w:tc>
        <w:tc>
          <w:tcPr>
            <w:tcW w:w="124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2019</w:t>
            </w:r>
          </w:p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факт</w:t>
            </w:r>
          </w:p>
        </w:tc>
        <w:tc>
          <w:tcPr>
            <w:tcW w:w="10449" w:type="dxa"/>
            <w:gridSpan w:val="1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План</w:t>
            </w:r>
          </w:p>
        </w:tc>
      </w:tr>
      <w:tr>
        <w:trPr>
          <w:trHeight w:val="536" w:hRule="atLeast"/>
        </w:trPr>
        <w:tc>
          <w:tcPr>
            <w:tcW w:w="176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113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24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6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2020</w:t>
            </w:r>
          </w:p>
        </w:tc>
        <w:tc>
          <w:tcPr>
            <w:tcW w:w="6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2021</w:t>
            </w:r>
          </w:p>
        </w:tc>
        <w:tc>
          <w:tcPr>
            <w:tcW w:w="6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2022</w:t>
            </w:r>
          </w:p>
        </w:tc>
        <w:tc>
          <w:tcPr>
            <w:tcW w:w="6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2023</w:t>
            </w:r>
          </w:p>
        </w:tc>
        <w:tc>
          <w:tcPr>
            <w:tcW w:w="6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2024</w:t>
            </w:r>
          </w:p>
        </w:tc>
        <w:tc>
          <w:tcPr>
            <w:tcW w:w="6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2025</w:t>
            </w:r>
          </w:p>
        </w:tc>
        <w:tc>
          <w:tcPr>
            <w:tcW w:w="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2026</w:t>
            </w:r>
          </w:p>
        </w:tc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2027</w:t>
            </w:r>
          </w:p>
        </w:tc>
        <w:tc>
          <w:tcPr>
            <w:tcW w:w="6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2028</w:t>
            </w:r>
          </w:p>
        </w:tc>
        <w:tc>
          <w:tcPr>
            <w:tcW w:w="6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2029</w:t>
            </w:r>
          </w:p>
        </w:tc>
        <w:tc>
          <w:tcPr>
            <w:tcW w:w="6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2030</w:t>
            </w:r>
          </w:p>
        </w:tc>
        <w:tc>
          <w:tcPr>
            <w:tcW w:w="6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2031</w:t>
            </w:r>
          </w:p>
        </w:tc>
        <w:tc>
          <w:tcPr>
            <w:tcW w:w="6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2031</w:t>
            </w:r>
          </w:p>
        </w:tc>
        <w:tc>
          <w:tcPr>
            <w:tcW w:w="6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2033</w:t>
            </w:r>
          </w:p>
        </w:tc>
        <w:tc>
          <w:tcPr>
            <w:tcW w:w="6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2034</w:t>
            </w:r>
          </w:p>
        </w:tc>
        <w:tc>
          <w:tcPr>
            <w:tcW w:w="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2035</w:t>
            </w:r>
          </w:p>
        </w:tc>
      </w:tr>
      <w:tr>
        <w:trPr>
          <w:trHeight w:val="716" w:hRule="atLeast"/>
        </w:trPr>
        <w:tc>
          <w:tcPr>
            <w:tcW w:w="17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Доля полигонного захоронения ТКО</w:t>
            </w:r>
          </w:p>
        </w:tc>
        <w:tc>
          <w:tcPr>
            <w:tcW w:w="11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процентов</w:t>
            </w:r>
          </w:p>
        </w:tc>
        <w:tc>
          <w:tcPr>
            <w:tcW w:w="12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94</w:t>
            </w:r>
          </w:p>
        </w:tc>
        <w:tc>
          <w:tcPr>
            <w:tcW w:w="6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90</w:t>
            </w:r>
          </w:p>
        </w:tc>
        <w:tc>
          <w:tcPr>
            <w:tcW w:w="6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80</w:t>
            </w:r>
          </w:p>
        </w:tc>
        <w:tc>
          <w:tcPr>
            <w:tcW w:w="6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80</w:t>
            </w:r>
          </w:p>
        </w:tc>
        <w:tc>
          <w:tcPr>
            <w:tcW w:w="6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80</w:t>
            </w:r>
          </w:p>
        </w:tc>
        <w:tc>
          <w:tcPr>
            <w:tcW w:w="6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80</w:t>
            </w:r>
          </w:p>
        </w:tc>
        <w:tc>
          <w:tcPr>
            <w:tcW w:w="6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80</w:t>
            </w:r>
          </w:p>
        </w:tc>
        <w:tc>
          <w:tcPr>
            <w:tcW w:w="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79</w:t>
            </w:r>
          </w:p>
        </w:tc>
        <w:tc>
          <w:tcPr>
            <w:tcW w:w="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78</w:t>
            </w:r>
          </w:p>
        </w:tc>
        <w:tc>
          <w:tcPr>
            <w:tcW w:w="6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77</w:t>
            </w:r>
          </w:p>
        </w:tc>
        <w:tc>
          <w:tcPr>
            <w:tcW w:w="6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76</w:t>
            </w:r>
          </w:p>
        </w:tc>
        <w:tc>
          <w:tcPr>
            <w:tcW w:w="6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75</w:t>
            </w:r>
          </w:p>
        </w:tc>
        <w:tc>
          <w:tcPr>
            <w:tcW w:w="6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74</w:t>
            </w:r>
          </w:p>
        </w:tc>
        <w:tc>
          <w:tcPr>
            <w:tcW w:w="6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73</w:t>
            </w:r>
          </w:p>
        </w:tc>
        <w:tc>
          <w:tcPr>
            <w:tcW w:w="6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72</w:t>
            </w:r>
          </w:p>
        </w:tc>
        <w:tc>
          <w:tcPr>
            <w:tcW w:w="6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71</w:t>
            </w:r>
          </w:p>
        </w:tc>
        <w:tc>
          <w:tcPr>
            <w:tcW w:w="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70</w:t>
            </w:r>
          </w:p>
        </w:tc>
      </w:tr>
    </w:tbl>
    <w:p>
      <w:pPr>
        <w:sectPr>
          <w:type w:val="nextPage"/>
          <w:pgSz w:orient="landscape" w:w="16838" w:h="11906"/>
          <w:pgMar w:left="1417" w:right="850" w:gutter="0" w:header="0" w:top="1134" w:footer="0" w:bottom="1134"/>
          <w:pgNumType w:fmt="decimal"/>
          <w:formProt w:val="false"/>
          <w:textDirection w:val="lrTb"/>
          <w:docGrid w:type="default" w:linePitch="240" w:charSpace="0"/>
        </w:sectPr>
      </w:pP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jc w:val="center"/>
        <w:outlineLvl w:val="1"/>
        <w:rPr>
          <w:highlight w:val="none"/>
          <w:shd w:fill="auto" w:val="clear"/>
        </w:rPr>
      </w:pPr>
      <w:r>
        <w:rPr>
          <w:rFonts w:eastAsia="" w:cs="Times New Roman" w:ascii="Times New Roman" w:hAnsi="Times New Roman" w:eastAsiaTheme="majorEastAsia"/>
          <w:sz w:val="28"/>
          <w:szCs w:val="28"/>
          <w:shd w:fill="auto" w:val="clear"/>
        </w:rPr>
        <w:t>3.1. Целевые показатели по обращению с ТКО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Достижение установленных целевых показателей в части количества обработанных, обезвреженных, утилизированных, захороненных ТКО обеспечивается: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1) Правительством Российской Федерации, Правительством Челябинской области, органами местного самоуправления Челябинской в рамках установленных действующим законодательством полномочий;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2) региональными операторами в соответствии с условиями соглашений об организации деятельности по обращению с ТКО на территории Челябинского, Магнитогорского, Карабашского, Кыштымского, Горного кластеров на территории Челябинской области, заключенных между Министерством экологии Челябинской области и региональными операторами по обращению с ТКО, в том числе в части: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- соблюдения схемы потоков ТКО, установленной разделом 7 настоящей территориальной схемы (включая направления ТКО на объекты в количестве (объеме), установленном территориальной схемой);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- реализации в полном объеме заявленных и включенных в раздел 8 настоящей территориальной схемы мероприятий по созданию, реконструкции объектов обращения с ТКО (включая соблюдение сроков реализации мероприятий, достижение установленных настоящей территориальной схемой показателей эффективности объектов обработки, обезвреживания, захоронения ТКО);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 xml:space="preserve">- обеспечения постепенного перехода к раздельному сбору ТКО: 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обеспечение раздельного сбора и вывоза ТКО с контейнерных площадок, на которых установлены контейнеры для раздельного накопления ТКО;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- приобретение и установка на контейнерных площадках контейнеров для раздельного накопления ТКО (в пределах средств, предусмотренных в утвержденном тарифе на приобретение контейнеров для ТКО).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3) операторами по обращению с ТКО, в том числе в части: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- прием и обработка/обезвреживание/захоронение ТКО в количестве (объеме), установленном разделом 7 настоящей территориальной схемы, в соответствии с проектной мощностью объекта, заявленной эксплуатирующей организацией;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- реализации в полном объеме заявленных и включенных в раздел 8 настоящей территориальной схемы мероприятий по созданию, реконструкции объектов обращения с ТКО (включая соблюдение сроков реализации мероприятий, достижение установленных настоящей территориальной схемой показателей эффективности объектов обработки, обезвреживания, захоронения ТКО);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- достижения установленных настоящей территориальной схемой показателей эффективности для существующих объектов обработки, обезвреживания, захоронения ТКО.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Обезвреживание ТКО на территории Челябинской области в 2019-2020 гг. не осуществлялось.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bookmarkStart w:id="0" w:name="__DdeLink__143628_3181191705"/>
      <w:bookmarkEnd w:id="0"/>
      <w:r>
        <w:rPr>
          <w:rFonts w:cs="Times New Roman" w:ascii="Times New Roman" w:hAnsi="Times New Roman"/>
          <w:sz w:val="28"/>
          <w:szCs w:val="28"/>
          <w:shd w:fill="auto" w:val="clear"/>
        </w:rPr>
        <w:t>Результаты деятельности региональных операторов по транспортированию, обработке, утилизации, обезвреживанию, захоронению ТКО на территории Челябинской области в 2019 году приведены в таблице 3.1.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Результаты деятельности региональных операторов по транспортированию, обработке, утилизации, обезвреживанию, захоронению ТКО на территории Челябинской области в 2020 году  приведены в таблице 3.2.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Результаты деятельности региональных операторов по транспортированию, обработке, утилизации, обезвреживанию, захоронению ТКО на территории Челябинской области в 2021 году приведены в таблице 3.3.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Результаты деятельности региональных операторов по транспортированию, обработке, утилизации, обезвреживанию, захоронению ТКО на территории Челябинской области в 2022 году приведены в таблице 3.4.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Результаты деятельности региональных операторов по транспортированию, обработке, утилизации, обезвреживанию, захоронению ТКО на территории Челябинской области в 2023 году приведены в таблице 3.5.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Результаты деятельности региональных операторов по транспортированию, обработке, утилизации, обезвреживанию, захоронению ТКО на территории Челябинской области в 2024 году (по состоянию на 01.09.2024 г.) приведены в таблице 3.6.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Основные причины отклонения достигнутых показателей от планируемых территориальной схемой: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- несоответствие фактической и заявленной эксплуатирующими организациями мощности объектов обработки ТКО;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 xml:space="preserve">- несоответствие фактических и установленных показателей эффективности объектов обработки ТКО (низкое качество извлекаемого вторичного сырья; стоимость извлеченного вторсырья, произведенного </w:t>
      </w:r>
      <w:r>
        <w:rPr>
          <w:rFonts w:cs="Times New Roman" w:ascii="Times New Roman" w:hAnsi="Times New Roman"/>
          <w:sz w:val="28"/>
          <w:szCs w:val="28"/>
          <w:shd w:fill="auto" w:val="clear"/>
          <w:lang w:val="en-US"/>
        </w:rPr>
        <w:t>RDF</w:t>
      </w:r>
      <w:r>
        <w:rPr>
          <w:rFonts w:cs="Times New Roman" w:ascii="Times New Roman" w:hAnsi="Times New Roman"/>
          <w:sz w:val="28"/>
          <w:szCs w:val="28"/>
          <w:shd w:fill="auto" w:val="clear"/>
        </w:rPr>
        <w:t>-топлива ниже затрат на его производство);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- недостаточный охват контейнерным сбором ТКО Челябинской области на этапе начала деятельности региональных операторов по обращению с ТКО, и как следствие отклонение количества транспортируемых ТКО от планируемого количества образующихся ТКО согласно данным территориальной схемы, определенного расчетным путем исходя из нормативов образования ТКО по данным сезонных натурных исследований.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Одним из инструментов увеличения целевых показателей с ТКО является раздельный сбор, примером реализации которого является Челябинский,  Копейский, Южноуральский, Троицкий, Магнитогорский городские округа. Увеличение процента извлекаемых вторичных ресурсов от установленного оборудования и организации предварительного отбора вторичных ресурсов в рамках частичного раздельного сбора.</w:t>
      </w:r>
    </w:p>
    <w:p>
      <w:pPr>
        <w:pStyle w:val="ListParagraph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 w:left="0"/>
        <w:contextualSpacing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 xml:space="preserve">Увеличение процента охвата зоны раздельного сбора ТКО в Челябинской области позволит также уменьшить долю ТКО, направляемых на захоронение. Порядок накопления ТКО, в том числе раздельного накопления ТКО, на территории региона должен осуществляться в соответствии с Постановлением Правительства Челябинской области от 27.06.2017 г. № 307-П "О порядке накопления твердых коммунальных отходов, в том числе их раздельного накопления на территории Челябинской области». 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Раздельный сбор отходов, в том числе опасных отходов, образующихся у населения Челябинской области позволит достигнуть 100%-ого обезвреживания данных отходов. Сбор опасных отходов должен осуществляться в специализированные контейнеры, оснащенные антивандальной конструкцией и маркированные оранжевым цветом. Организацию мест сбора опасных отходов от жилищ на территории Челябинской области обеспечивают органы местного самоуправления, организации, управляющие многоквартирными домами в соответствии с федеральным законодательством.</w:t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firstLine="709"/>
        <w:jc w:val="center"/>
        <w:outlineLvl w:val="1"/>
        <w:rPr>
          <w:highlight w:val="none"/>
          <w:shd w:fill="auto" w:val="clear"/>
        </w:rPr>
      </w:pPr>
      <w:r>
        <w:rPr>
          <w:rFonts w:eastAsia="" w:cs="Times New Roman" w:ascii="Times New Roman" w:hAnsi="Times New Roman" w:eastAsiaTheme="majorEastAsia"/>
          <w:sz w:val="28"/>
          <w:szCs w:val="28"/>
          <w:shd w:fill="auto" w:val="clear"/>
        </w:rPr>
        <w:t>3.2. Целевые показатели по обращению с отходами,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09"/>
        <w:jc w:val="center"/>
        <w:outlineLvl w:val="1"/>
        <w:rPr>
          <w:highlight w:val="none"/>
          <w:shd w:fill="auto" w:val="clear"/>
        </w:rPr>
      </w:pPr>
      <w:r>
        <w:rPr>
          <w:rFonts w:eastAsia="" w:cs="Times New Roman" w:ascii="Times New Roman" w:hAnsi="Times New Roman" w:eastAsiaTheme="majorEastAsia"/>
          <w:sz w:val="28"/>
          <w:szCs w:val="28"/>
          <w:shd w:fill="auto" w:val="clear"/>
        </w:rPr>
        <w:t>за исключением ТКО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  <w:lang w:eastAsia="ru-RU"/>
        </w:rPr>
        <w:t xml:space="preserve">Целевые показатели по обращению с отходами производства и потребления на период 2025-2035 гг. действующим законодательством не установлены. 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  <w:lang w:eastAsia="ru-RU"/>
        </w:rPr>
        <w:t xml:space="preserve">В 2023 году при количестве образованных отходов 262,358 млн тонн, наличие отходов на начало отчетного периода составляло 1 842,989 млн тонн. 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  <w:lang w:eastAsia="ru-RU"/>
        </w:rPr>
        <w:t>Количество обработанных отходов 0,559 млн тонн.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  <w:lang w:eastAsia="ru-RU"/>
        </w:rPr>
        <w:t>Количество обезвреженных отходов 0,251 млн тонн.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  <w:lang w:eastAsia="ru-RU"/>
        </w:rPr>
        <w:t>Количество утилизированных отходов 130,426 млн тонн.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  <w:lang w:eastAsia="ru-RU"/>
        </w:rPr>
        <w:t xml:space="preserve">Наличие отходов на конец отчетного периода 1 989,972 млн тонн. </w:t>
      </w:r>
    </w:p>
    <w:p>
      <w:pPr>
        <w:sectPr>
          <w:type w:val="nextPage"/>
          <w:pgSz w:w="11906" w:h="16838"/>
          <w:pgMar w:left="1417" w:right="850" w:gutter="0" w:header="0" w:top="1134" w:footer="0" w:bottom="1134"/>
          <w:pgNumType w:fmt="decimal"/>
          <w:formProt w:val="false"/>
          <w:textDirection w:val="lrTb"/>
          <w:docGrid w:type="default" w:linePitch="240" w:charSpace="0"/>
        </w:sectPr>
        <w:pStyle w:val="Normal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  <w:highlight w:val="none"/>
          <w:shd w:fill="auto" w:val="clear"/>
          <w:lang w:eastAsia="ru-RU"/>
        </w:rPr>
      </w:pPr>
      <w:r>
        <w:rPr>
          <w:rFonts w:cs="Times New Roman" w:ascii="Times New Roman" w:hAnsi="Times New Roman"/>
          <w:sz w:val="28"/>
          <w:szCs w:val="28"/>
          <w:shd w:fill="auto" w:val="clear"/>
          <w:lang w:eastAsia="ru-RU"/>
        </w:rPr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jc w:val="center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8"/>
          <w:shd w:fill="auto" w:val="clear"/>
        </w:rPr>
        <w:t>Таблица 3.1. Результаты деятельности региональных операторов по транспортированию, обработке, утилизации, обезвреживанию, захоронению ТКО на территории Челябинской области в 2019 году</w:t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" w:type="dxa"/>
          <w:bottom w:w="28" w:type="dxa"/>
          <w:right w:w="0" w:type="dxa"/>
        </w:tblCellMar>
        <w:tblLook w:firstRow="1" w:noVBand="1" w:lastRow="0" w:firstColumn="1" w:lastColumn="0" w:noHBand="0" w:val="04a0"/>
      </w:tblPr>
      <w:tblGrid>
        <w:gridCol w:w="1722"/>
        <w:gridCol w:w="2029"/>
        <w:gridCol w:w="2030"/>
        <w:gridCol w:w="1234"/>
        <w:gridCol w:w="2180"/>
        <w:gridCol w:w="1652"/>
        <w:gridCol w:w="2177"/>
        <w:gridCol w:w="1545"/>
      </w:tblGrid>
      <w:tr>
        <w:trPr>
          <w:trHeight w:val="413" w:hRule="atLeast"/>
        </w:trPr>
        <w:tc>
          <w:tcPr>
            <w:tcW w:w="172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Наименование кластера</w:t>
            </w:r>
          </w:p>
        </w:tc>
        <w:tc>
          <w:tcPr>
            <w:tcW w:w="20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транспортировано (факт)</w:t>
            </w:r>
          </w:p>
        </w:tc>
        <w:tc>
          <w:tcPr>
            <w:tcW w:w="20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транспортировано (план)</w:t>
            </w:r>
          </w:p>
        </w:tc>
        <w:tc>
          <w:tcPr>
            <w:tcW w:w="1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обработано (факт)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обработано (план) по факту транспортирования</w:t>
            </w:r>
          </w:p>
        </w:tc>
        <w:tc>
          <w:tcPr>
            <w:tcW w:w="16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утилизировано (факт)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Утилизировано (план) по факту транспортирования</w:t>
            </w:r>
          </w:p>
        </w:tc>
        <w:tc>
          <w:tcPr>
            <w:tcW w:w="1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Захоронено (факт)</w:t>
            </w:r>
          </w:p>
        </w:tc>
      </w:tr>
      <w:tr>
        <w:trPr/>
        <w:tc>
          <w:tcPr>
            <w:tcW w:w="172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20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тонн</w:t>
            </w:r>
          </w:p>
        </w:tc>
        <w:tc>
          <w:tcPr>
            <w:tcW w:w="20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тонн</w:t>
            </w:r>
          </w:p>
        </w:tc>
        <w:tc>
          <w:tcPr>
            <w:tcW w:w="1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тонн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тонн</w:t>
            </w:r>
          </w:p>
        </w:tc>
        <w:tc>
          <w:tcPr>
            <w:tcW w:w="16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тонн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тонн</w:t>
            </w:r>
          </w:p>
        </w:tc>
        <w:tc>
          <w:tcPr>
            <w:tcW w:w="1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</w:tr>
      <w:tr>
        <w:trPr>
          <w:trHeight w:val="41" w:hRule="atLeast"/>
        </w:trPr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Карабашский</w:t>
            </w:r>
          </w:p>
        </w:tc>
        <w:tc>
          <w:tcPr>
            <w:tcW w:w="20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91080</w:t>
            </w:r>
          </w:p>
        </w:tc>
        <w:tc>
          <w:tcPr>
            <w:tcW w:w="20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176943</w:t>
            </w:r>
          </w:p>
        </w:tc>
        <w:tc>
          <w:tcPr>
            <w:tcW w:w="1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25824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55000</w:t>
            </w:r>
          </w:p>
        </w:tc>
        <w:tc>
          <w:tcPr>
            <w:tcW w:w="16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1296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5500</w:t>
            </w:r>
          </w:p>
        </w:tc>
        <w:tc>
          <w:tcPr>
            <w:tcW w:w="1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89 784,78</w:t>
            </w:r>
          </w:p>
        </w:tc>
      </w:tr>
      <w:tr>
        <w:trPr>
          <w:trHeight w:val="41" w:hRule="atLeast"/>
        </w:trPr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Горный</w:t>
            </w:r>
          </w:p>
        </w:tc>
        <w:tc>
          <w:tcPr>
            <w:tcW w:w="20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44880</w:t>
            </w:r>
          </w:p>
        </w:tc>
        <w:tc>
          <w:tcPr>
            <w:tcW w:w="20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87815</w:t>
            </w:r>
          </w:p>
        </w:tc>
        <w:tc>
          <w:tcPr>
            <w:tcW w:w="1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</w:t>
            </w:r>
          </w:p>
        </w:tc>
        <w:tc>
          <w:tcPr>
            <w:tcW w:w="16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</w:t>
            </w:r>
          </w:p>
        </w:tc>
        <w:tc>
          <w:tcPr>
            <w:tcW w:w="1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44 880</w:t>
            </w:r>
          </w:p>
        </w:tc>
      </w:tr>
      <w:tr>
        <w:trPr>
          <w:trHeight w:val="41" w:hRule="atLeast"/>
        </w:trPr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Магнитогорский</w:t>
            </w:r>
          </w:p>
        </w:tc>
        <w:tc>
          <w:tcPr>
            <w:tcW w:w="20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143593</w:t>
            </w:r>
          </w:p>
        </w:tc>
        <w:tc>
          <w:tcPr>
            <w:tcW w:w="20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138421</w:t>
            </w:r>
          </w:p>
        </w:tc>
        <w:tc>
          <w:tcPr>
            <w:tcW w:w="1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49099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135495</w:t>
            </w:r>
          </w:p>
        </w:tc>
        <w:tc>
          <w:tcPr>
            <w:tcW w:w="16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1821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13550</w:t>
            </w:r>
          </w:p>
        </w:tc>
        <w:tc>
          <w:tcPr>
            <w:tcW w:w="1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141 772,31</w:t>
            </w:r>
          </w:p>
        </w:tc>
      </w:tr>
      <w:tr>
        <w:trPr>
          <w:trHeight w:val="41" w:hRule="atLeast"/>
        </w:trPr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Челябинский</w:t>
            </w:r>
          </w:p>
        </w:tc>
        <w:tc>
          <w:tcPr>
            <w:tcW w:w="20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449336</w:t>
            </w:r>
          </w:p>
        </w:tc>
        <w:tc>
          <w:tcPr>
            <w:tcW w:w="20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552879</w:t>
            </w:r>
          </w:p>
        </w:tc>
        <w:tc>
          <w:tcPr>
            <w:tcW w:w="1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229088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135645</w:t>
            </w:r>
          </w:p>
        </w:tc>
        <w:tc>
          <w:tcPr>
            <w:tcW w:w="16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18908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13564</w:t>
            </w:r>
          </w:p>
        </w:tc>
        <w:tc>
          <w:tcPr>
            <w:tcW w:w="1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443 304,31</w:t>
            </w:r>
          </w:p>
        </w:tc>
      </w:tr>
      <w:tr>
        <w:trPr>
          <w:trHeight w:val="41" w:hRule="atLeast"/>
        </w:trPr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Кыштымский</w:t>
            </w:r>
          </w:p>
        </w:tc>
        <w:tc>
          <w:tcPr>
            <w:tcW w:w="20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74958</w:t>
            </w:r>
          </w:p>
        </w:tc>
        <w:tc>
          <w:tcPr>
            <w:tcW w:w="20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90773</w:t>
            </w:r>
          </w:p>
        </w:tc>
        <w:tc>
          <w:tcPr>
            <w:tcW w:w="1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54003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74958</w:t>
            </w:r>
          </w:p>
        </w:tc>
        <w:tc>
          <w:tcPr>
            <w:tcW w:w="16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1580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7496</w:t>
            </w:r>
          </w:p>
        </w:tc>
        <w:tc>
          <w:tcPr>
            <w:tcW w:w="1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80 751</w:t>
            </w:r>
          </w:p>
        </w:tc>
      </w:tr>
      <w:tr>
        <w:trPr>
          <w:trHeight w:val="41" w:hRule="atLeast"/>
        </w:trPr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Итого:</w:t>
            </w:r>
          </w:p>
        </w:tc>
        <w:tc>
          <w:tcPr>
            <w:tcW w:w="20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803 847</w:t>
            </w:r>
          </w:p>
        </w:tc>
        <w:tc>
          <w:tcPr>
            <w:tcW w:w="20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1 046 831</w:t>
            </w:r>
          </w:p>
        </w:tc>
        <w:tc>
          <w:tcPr>
            <w:tcW w:w="12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358 014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401 098</w:t>
            </w:r>
          </w:p>
        </w:tc>
        <w:tc>
          <w:tcPr>
            <w:tcW w:w="16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23 605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40 110</w:t>
            </w:r>
          </w:p>
        </w:tc>
        <w:tc>
          <w:tcPr>
            <w:tcW w:w="15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</w:r>
          </w:p>
        </w:tc>
      </w:tr>
    </w:tbl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contextualSpacing/>
        <w:jc w:val="center"/>
        <w:rPr>
          <w:rFonts w:ascii="Times New Roman" w:hAnsi="Times New Roman" w:cs="Times New Roman"/>
          <w:sz w:val="24"/>
          <w:szCs w:val="28"/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contextualSpacing/>
        <w:jc w:val="center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8"/>
          <w:shd w:fill="auto" w:val="clear"/>
        </w:rPr>
        <w:t>Таблица 3.2. Результаты деятельности региональных операторов по транспортированию, обработке, утилизации, обезвреживанию, захоронению ТКО на территории Челябинской области в 20</w:t>
      </w:r>
      <w:r>
        <w:rPr>
          <w:rFonts w:cs="Times New Roman" w:ascii="Times New Roman" w:hAnsi="Times New Roman"/>
          <w:sz w:val="24"/>
          <w:szCs w:val="28"/>
          <w:shd w:fill="auto" w:val="clear"/>
          <w:lang w:val="en-US"/>
        </w:rPr>
        <w:t xml:space="preserve">20 </w:t>
      </w:r>
      <w:r>
        <w:rPr>
          <w:rFonts w:cs="Times New Roman" w:ascii="Times New Roman" w:hAnsi="Times New Roman"/>
          <w:sz w:val="24"/>
          <w:szCs w:val="28"/>
          <w:shd w:fill="auto" w:val="clear"/>
        </w:rPr>
        <w:t>году</w:t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" w:type="dxa"/>
          <w:bottom w:w="28" w:type="dxa"/>
          <w:right w:w="0" w:type="dxa"/>
        </w:tblCellMar>
        <w:tblLook w:firstRow="1" w:noVBand="1" w:lastRow="0" w:firstColumn="1" w:lastColumn="0" w:noHBand="0" w:val="04a0"/>
      </w:tblPr>
      <w:tblGrid>
        <w:gridCol w:w="1744"/>
        <w:gridCol w:w="2099"/>
        <w:gridCol w:w="2100"/>
        <w:gridCol w:w="1320"/>
        <w:gridCol w:w="2207"/>
        <w:gridCol w:w="1736"/>
        <w:gridCol w:w="2124"/>
        <w:gridCol w:w="1239"/>
      </w:tblGrid>
      <w:tr>
        <w:trPr>
          <w:trHeight w:val="240" w:hRule="atLeast"/>
        </w:trPr>
        <w:tc>
          <w:tcPr>
            <w:tcW w:w="174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Наименование кластера</w:t>
            </w:r>
          </w:p>
        </w:tc>
        <w:tc>
          <w:tcPr>
            <w:tcW w:w="2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Транспортировано (факт)</w:t>
            </w:r>
          </w:p>
        </w:tc>
        <w:tc>
          <w:tcPr>
            <w:tcW w:w="2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Транспортировано (план)</w:t>
            </w:r>
          </w:p>
        </w:tc>
        <w:tc>
          <w:tcPr>
            <w:tcW w:w="13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Обработано (факт)</w:t>
            </w:r>
          </w:p>
        </w:tc>
        <w:tc>
          <w:tcPr>
            <w:tcW w:w="2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Обработано (план) по факту транспортирования</w:t>
            </w:r>
          </w:p>
        </w:tc>
        <w:tc>
          <w:tcPr>
            <w:tcW w:w="1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Утилизировано (факт)</w:t>
            </w:r>
          </w:p>
        </w:tc>
        <w:tc>
          <w:tcPr>
            <w:tcW w:w="21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Утилизировано (план) по факту транспортирования</w:t>
            </w:r>
          </w:p>
        </w:tc>
        <w:tc>
          <w:tcPr>
            <w:tcW w:w="12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Захоронено (факт)</w:t>
            </w:r>
          </w:p>
        </w:tc>
      </w:tr>
      <w:tr>
        <w:trPr>
          <w:trHeight w:val="41" w:hRule="atLeast"/>
        </w:trPr>
        <w:tc>
          <w:tcPr>
            <w:tcW w:w="174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2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2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13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2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1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21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12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</w:tr>
      <w:tr>
        <w:trPr>
          <w:trHeight w:val="41" w:hRule="atLeast"/>
        </w:trPr>
        <w:tc>
          <w:tcPr>
            <w:tcW w:w="17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Карабашский</w:t>
            </w:r>
          </w:p>
        </w:tc>
        <w:tc>
          <w:tcPr>
            <w:tcW w:w="2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105 237,36</w:t>
            </w:r>
          </w:p>
        </w:tc>
        <w:tc>
          <w:tcPr>
            <w:tcW w:w="2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107 913,00</w:t>
            </w:r>
          </w:p>
        </w:tc>
        <w:tc>
          <w:tcPr>
            <w:tcW w:w="13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68 002,16</w:t>
            </w:r>
          </w:p>
        </w:tc>
        <w:tc>
          <w:tcPr>
            <w:tcW w:w="2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18 750,00</w:t>
            </w:r>
          </w:p>
        </w:tc>
        <w:tc>
          <w:tcPr>
            <w:tcW w:w="1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6 578,14</w:t>
            </w:r>
          </w:p>
        </w:tc>
        <w:tc>
          <w:tcPr>
            <w:tcW w:w="21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1 875,00</w:t>
            </w:r>
          </w:p>
        </w:tc>
        <w:tc>
          <w:tcPr>
            <w:tcW w:w="12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95 894,130</w:t>
            </w:r>
          </w:p>
        </w:tc>
      </w:tr>
      <w:tr>
        <w:trPr>
          <w:trHeight w:val="41" w:hRule="atLeast"/>
        </w:trPr>
        <w:tc>
          <w:tcPr>
            <w:tcW w:w="17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Горный</w:t>
            </w:r>
          </w:p>
        </w:tc>
        <w:tc>
          <w:tcPr>
            <w:tcW w:w="2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50 577,44</w:t>
            </w:r>
          </w:p>
        </w:tc>
        <w:tc>
          <w:tcPr>
            <w:tcW w:w="2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53 256,00</w:t>
            </w:r>
          </w:p>
        </w:tc>
        <w:tc>
          <w:tcPr>
            <w:tcW w:w="13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0,00</w:t>
            </w:r>
          </w:p>
        </w:tc>
        <w:tc>
          <w:tcPr>
            <w:tcW w:w="2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0,00</w:t>
            </w:r>
          </w:p>
        </w:tc>
        <w:tc>
          <w:tcPr>
            <w:tcW w:w="1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2 705,80</w:t>
            </w:r>
          </w:p>
        </w:tc>
        <w:tc>
          <w:tcPr>
            <w:tcW w:w="21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0,00</w:t>
            </w:r>
          </w:p>
        </w:tc>
        <w:tc>
          <w:tcPr>
            <w:tcW w:w="12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47 871,60</w:t>
            </w:r>
          </w:p>
        </w:tc>
      </w:tr>
      <w:tr>
        <w:trPr>
          <w:trHeight w:val="41" w:hRule="atLeast"/>
        </w:trPr>
        <w:tc>
          <w:tcPr>
            <w:tcW w:w="17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Магнитогорский</w:t>
            </w:r>
          </w:p>
        </w:tc>
        <w:tc>
          <w:tcPr>
            <w:tcW w:w="2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159 931,33</w:t>
            </w:r>
          </w:p>
        </w:tc>
        <w:tc>
          <w:tcPr>
            <w:tcW w:w="2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165 084,00</w:t>
            </w:r>
          </w:p>
        </w:tc>
        <w:tc>
          <w:tcPr>
            <w:tcW w:w="13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54 071,98</w:t>
            </w:r>
          </w:p>
        </w:tc>
        <w:tc>
          <w:tcPr>
            <w:tcW w:w="2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75 000,00</w:t>
            </w:r>
          </w:p>
        </w:tc>
        <w:tc>
          <w:tcPr>
            <w:tcW w:w="1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4 129,49</w:t>
            </w:r>
          </w:p>
        </w:tc>
        <w:tc>
          <w:tcPr>
            <w:tcW w:w="21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8 183,00</w:t>
            </w:r>
          </w:p>
        </w:tc>
        <w:tc>
          <w:tcPr>
            <w:tcW w:w="12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155 801,84</w:t>
            </w:r>
          </w:p>
        </w:tc>
      </w:tr>
      <w:tr>
        <w:trPr>
          <w:trHeight w:val="41" w:hRule="atLeast"/>
        </w:trPr>
        <w:tc>
          <w:tcPr>
            <w:tcW w:w="17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Челябинский</w:t>
            </w:r>
          </w:p>
        </w:tc>
        <w:tc>
          <w:tcPr>
            <w:tcW w:w="2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452 676,34</w:t>
            </w:r>
          </w:p>
        </w:tc>
        <w:tc>
          <w:tcPr>
            <w:tcW w:w="2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462 438,00</w:t>
            </w:r>
          </w:p>
        </w:tc>
        <w:tc>
          <w:tcPr>
            <w:tcW w:w="13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242 379,86</w:t>
            </w:r>
          </w:p>
        </w:tc>
        <w:tc>
          <w:tcPr>
            <w:tcW w:w="2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302 500,00</w:t>
            </w:r>
          </w:p>
        </w:tc>
        <w:tc>
          <w:tcPr>
            <w:tcW w:w="1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21 588,64</w:t>
            </w:r>
          </w:p>
        </w:tc>
        <w:tc>
          <w:tcPr>
            <w:tcW w:w="21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30 250,00</w:t>
            </w:r>
          </w:p>
        </w:tc>
        <w:tc>
          <w:tcPr>
            <w:tcW w:w="12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427 454,27</w:t>
            </w:r>
          </w:p>
        </w:tc>
      </w:tr>
      <w:tr>
        <w:trPr>
          <w:trHeight w:val="41" w:hRule="atLeast"/>
        </w:trPr>
        <w:tc>
          <w:tcPr>
            <w:tcW w:w="17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Кыштымский</w:t>
            </w:r>
          </w:p>
        </w:tc>
        <w:tc>
          <w:tcPr>
            <w:tcW w:w="2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68 989,00</w:t>
            </w:r>
          </w:p>
        </w:tc>
        <w:tc>
          <w:tcPr>
            <w:tcW w:w="2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75 316,00</w:t>
            </w:r>
          </w:p>
        </w:tc>
        <w:tc>
          <w:tcPr>
            <w:tcW w:w="13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61 813,00</w:t>
            </w:r>
          </w:p>
        </w:tc>
        <w:tc>
          <w:tcPr>
            <w:tcW w:w="2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57 098,00</w:t>
            </w:r>
          </w:p>
        </w:tc>
        <w:tc>
          <w:tcPr>
            <w:tcW w:w="1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1 156,00</w:t>
            </w:r>
          </w:p>
        </w:tc>
        <w:tc>
          <w:tcPr>
            <w:tcW w:w="21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5 710,00</w:t>
            </w:r>
          </w:p>
        </w:tc>
        <w:tc>
          <w:tcPr>
            <w:tcW w:w="12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2 689,00</w:t>
            </w:r>
          </w:p>
        </w:tc>
      </w:tr>
      <w:tr>
        <w:trPr>
          <w:trHeight w:val="41" w:hRule="atLeast"/>
        </w:trPr>
        <w:tc>
          <w:tcPr>
            <w:tcW w:w="17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Итого:</w:t>
            </w:r>
          </w:p>
        </w:tc>
        <w:tc>
          <w:tcPr>
            <w:tcW w:w="20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837 411,47</w:t>
            </w:r>
          </w:p>
        </w:tc>
        <w:tc>
          <w:tcPr>
            <w:tcW w:w="21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864 007,00</w:t>
            </w:r>
          </w:p>
        </w:tc>
        <w:tc>
          <w:tcPr>
            <w:tcW w:w="13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426 267,00</w:t>
            </w:r>
          </w:p>
        </w:tc>
        <w:tc>
          <w:tcPr>
            <w:tcW w:w="22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453 348,00</w:t>
            </w:r>
          </w:p>
        </w:tc>
        <w:tc>
          <w:tcPr>
            <w:tcW w:w="17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36 158</w:t>
            </w:r>
          </w:p>
        </w:tc>
        <w:tc>
          <w:tcPr>
            <w:tcW w:w="21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46 018,00</w:t>
            </w:r>
          </w:p>
        </w:tc>
        <w:tc>
          <w:tcPr>
            <w:tcW w:w="12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729 710,84</w:t>
            </w:r>
          </w:p>
        </w:tc>
      </w:tr>
    </w:tbl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contextualSpacing/>
        <w:jc w:val="center"/>
        <w:rPr>
          <w:rFonts w:ascii="Times New Roman" w:hAnsi="Times New Roman" w:cs="Times New Roman"/>
          <w:sz w:val="24"/>
          <w:szCs w:val="28"/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8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cs="Times New Roman"/>
          <w:sz w:val="24"/>
          <w:szCs w:val="28"/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8"/>
          <w:shd w:fill="auto" w:val="clear"/>
        </w:rPr>
      </w:r>
      <w:r>
        <w:br w:type="page"/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contextualSpacing/>
        <w:jc w:val="center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8"/>
          <w:shd w:fill="auto" w:val="clear"/>
        </w:rPr>
        <w:t>Таблица 3.3. Результаты деятельности региональных операторов по транспортированию, обработке, утилизации, обезвреживанию, захоронению ТКО на территории Челябинской области в 20</w:t>
      </w:r>
      <w:r>
        <w:rPr>
          <w:rFonts w:cs="Times New Roman" w:ascii="Times New Roman" w:hAnsi="Times New Roman"/>
          <w:sz w:val="24"/>
          <w:szCs w:val="28"/>
          <w:shd w:fill="auto" w:val="clear"/>
          <w:lang w:val="en-US"/>
        </w:rPr>
        <w:t xml:space="preserve">21 </w:t>
      </w:r>
      <w:r>
        <w:rPr>
          <w:rFonts w:cs="Times New Roman" w:ascii="Times New Roman" w:hAnsi="Times New Roman"/>
          <w:sz w:val="24"/>
          <w:szCs w:val="28"/>
          <w:shd w:fill="auto" w:val="clear"/>
        </w:rPr>
        <w:t xml:space="preserve">году </w:t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" w:type="dxa"/>
          <w:bottom w:w="28" w:type="dxa"/>
          <w:right w:w="0" w:type="dxa"/>
        </w:tblCellMar>
        <w:tblLook w:firstRow="1" w:noVBand="1" w:lastRow="0" w:firstColumn="1" w:lastColumn="0" w:noHBand="0" w:val="04a0"/>
      </w:tblPr>
      <w:tblGrid>
        <w:gridCol w:w="1735"/>
        <w:gridCol w:w="2072"/>
        <w:gridCol w:w="2072"/>
        <w:gridCol w:w="1365"/>
        <w:gridCol w:w="2177"/>
        <w:gridCol w:w="1722"/>
        <w:gridCol w:w="2180"/>
        <w:gridCol w:w="1246"/>
      </w:tblGrid>
      <w:tr>
        <w:trPr/>
        <w:tc>
          <w:tcPr>
            <w:tcW w:w="173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ind w:firstLine="57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Наименование кластера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Транспортировано (факт)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Транспортировано (план)</w:t>
            </w: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Обработано (факт)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Обработано (план) по факту транспортирования</w:t>
            </w:r>
          </w:p>
        </w:tc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Утилизировано (факт)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Утилизировано (план) по факту транспортирования</w:t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Захоронено (факт)</w:t>
            </w:r>
          </w:p>
        </w:tc>
      </w:tr>
      <w:tr>
        <w:trPr/>
        <w:tc>
          <w:tcPr>
            <w:tcW w:w="173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</w:tr>
      <w:tr>
        <w:trPr>
          <w:trHeight w:val="41" w:hRule="atLeast"/>
        </w:trPr>
        <w:tc>
          <w:tcPr>
            <w:tcW w:w="1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Карабашский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103 972,84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103 844,00</w:t>
            </w: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23 617,16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25 000,00</w:t>
            </w:r>
          </w:p>
        </w:tc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6 985,68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2 550,00</w:t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99 770,38</w:t>
            </w:r>
          </w:p>
        </w:tc>
      </w:tr>
      <w:tr>
        <w:trPr>
          <w:trHeight w:val="41" w:hRule="atLeast"/>
        </w:trPr>
        <w:tc>
          <w:tcPr>
            <w:tcW w:w="1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Горный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40 835,70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86 469,00</w:t>
            </w: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0,00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0,00</w:t>
            </w:r>
          </w:p>
        </w:tc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0,00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0,00</w:t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40 835,70</w:t>
            </w:r>
          </w:p>
        </w:tc>
      </w:tr>
      <w:tr>
        <w:trPr>
          <w:trHeight w:val="41" w:hRule="atLeast"/>
        </w:trPr>
        <w:tc>
          <w:tcPr>
            <w:tcW w:w="1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Магнитогорский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142 641,33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138 354,00</w:t>
            </w: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71 143,67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99 376,00</w:t>
            </w:r>
          </w:p>
        </w:tc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6 357,38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19 875,00</w:t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337 044,40</w:t>
            </w:r>
          </w:p>
        </w:tc>
      </w:tr>
      <w:tr>
        <w:trPr>
          <w:trHeight w:val="41" w:hRule="atLeast"/>
        </w:trPr>
        <w:tc>
          <w:tcPr>
            <w:tcW w:w="1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Челябинский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459 533,65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557 662,00</w:t>
            </w: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298 906,83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393 409,00</w:t>
            </w:r>
          </w:p>
        </w:tc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54 236,49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57 011,00</w:t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408 930,60</w:t>
            </w:r>
          </w:p>
        </w:tc>
      </w:tr>
      <w:tr>
        <w:trPr>
          <w:trHeight w:val="41" w:hRule="atLeast"/>
        </w:trPr>
        <w:tc>
          <w:tcPr>
            <w:tcW w:w="1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Кыштымский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64 245,00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89 633,00</w:t>
            </w: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65 918,00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89 633,00</w:t>
            </w:r>
          </w:p>
        </w:tc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1 255,00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11 663,00</w:t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32 523,00</w:t>
            </w:r>
          </w:p>
        </w:tc>
      </w:tr>
      <w:tr>
        <w:trPr>
          <w:trHeight w:val="41" w:hRule="atLeast"/>
        </w:trPr>
        <w:tc>
          <w:tcPr>
            <w:tcW w:w="1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Итого: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811 228,52</w:t>
            </w:r>
          </w:p>
        </w:tc>
        <w:tc>
          <w:tcPr>
            <w:tcW w:w="2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975 962,00</w:t>
            </w: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459 585,66</w:t>
            </w:r>
          </w:p>
        </w:tc>
        <w:tc>
          <w:tcPr>
            <w:tcW w:w="21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607 418,00</w:t>
            </w:r>
          </w:p>
        </w:tc>
        <w:tc>
          <w:tcPr>
            <w:tcW w:w="17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68 834,55</w:t>
            </w:r>
          </w:p>
        </w:tc>
        <w:tc>
          <w:tcPr>
            <w:tcW w:w="21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91 069,00</w:t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919 104,08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360" w:before="0" w:after="0"/>
        <w:ind w:firstLine="709" w:left="720"/>
        <w:contextualSpacing/>
        <w:jc w:val="both"/>
        <w:outlineLvl w:val="1"/>
        <w:rPr>
          <w:rFonts w:ascii="Times New Roman" w:hAnsi="Times New Roman" w:cs="Times New Roman"/>
          <w:highlight w:val="none"/>
          <w:shd w:fill="auto" w:val="clear"/>
        </w:rPr>
      </w:pPr>
      <w:r>
        <w:rPr>
          <w:rFonts w:cs="Times New Roman" w:ascii="Times New Roman" w:hAnsi="Times New Roman"/>
          <w:shd w:fill="auto" w:val="clear"/>
        </w:rPr>
      </w:r>
    </w:p>
    <w:p>
      <w:pPr>
        <w:pStyle w:val="Normal"/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contextualSpacing/>
        <w:jc w:val="center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8"/>
          <w:shd w:fill="auto" w:val="clear"/>
        </w:rPr>
        <w:t xml:space="preserve">Таблица 3.4. Результаты деятельности региональных операторов по транспортированию, обработке, утилизации, обезвреживанию, захоронению ТКО на территории Челябинской области в 2022 году </w:t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5" w:type="dxa"/>
          <w:bottom w:w="28" w:type="dxa"/>
          <w:right w:w="5" w:type="dxa"/>
        </w:tblCellMar>
        <w:tblLook w:firstRow="1" w:noVBand="1" w:lastRow="0" w:firstColumn="1" w:lastColumn="0" w:noHBand="0" w:val="04a0"/>
      </w:tblPr>
      <w:tblGrid>
        <w:gridCol w:w="1586"/>
        <w:gridCol w:w="1908"/>
        <w:gridCol w:w="1903"/>
        <w:gridCol w:w="1197"/>
        <w:gridCol w:w="1634"/>
        <w:gridCol w:w="2869"/>
        <w:gridCol w:w="1739"/>
        <w:gridCol w:w="1733"/>
      </w:tblGrid>
      <w:tr>
        <w:trPr/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ind w:firstLine="57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Наименование кластера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Транспортировано (факт)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Транспортировано (план)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Обработано  (факт)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Обработано (план)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Утилизировано/обезврежено (факт)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Утилизировано (план)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Захоронено (факт)</w:t>
            </w:r>
          </w:p>
        </w:tc>
      </w:tr>
      <w:tr>
        <w:trPr/>
        <w:tc>
          <w:tcPr>
            <w:tcW w:w="15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</w:tr>
      <w:tr>
        <w:trPr>
          <w:trHeight w:val="36" w:hRule="atLeast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Карабашский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99470,42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119 094,00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51 579,83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0,00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10 259,39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89 522,64</w:t>
            </w:r>
          </w:p>
        </w:tc>
      </w:tr>
      <w:tr>
        <w:trPr>
          <w:trHeight w:val="36" w:hRule="atLeast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Горный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45 226,00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56 582,00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0,00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0,00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0,00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45 226,00</w:t>
            </w:r>
          </w:p>
        </w:tc>
      </w:tr>
      <w:tr>
        <w:trPr>
          <w:trHeight w:val="36" w:hRule="atLeast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Магнитогорский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126 993,78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165 802,00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95 082,00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100 000,00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5 464,39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20000,00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121 552,41</w:t>
            </w:r>
          </w:p>
        </w:tc>
      </w:tr>
      <w:tr>
        <w:trPr>
          <w:trHeight w:val="36" w:hRule="atLeast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Челябинский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454 885,67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479 200,00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335 186,71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386 490,00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61 589,70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73427,00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393 199,89</w:t>
            </w:r>
          </w:p>
        </w:tc>
      </w:tr>
      <w:tr>
        <w:trPr>
          <w:trHeight w:val="36" w:hRule="atLeast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Кыштымский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63  859,00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76 580,00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63 859,00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76 580,00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1 081,00 (утил)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8 080,00 (обезвр)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7 658,00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54 698,00</w:t>
            </w:r>
          </w:p>
        </w:tc>
      </w:tr>
      <w:tr>
        <w:trPr>
          <w:trHeight w:val="36" w:hRule="atLeast"/>
        </w:trPr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4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Итого: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790 434,87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897 258,00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545707,54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563 070,00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78 394,48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101 085,00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704 198,94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contextualSpacing/>
        <w:jc w:val="both"/>
        <w:outlineLvl w:val="1"/>
        <w:rPr>
          <w:rFonts w:ascii="Times New Roman" w:hAnsi="Times New Roman" w:cs="Times New Roman"/>
          <w:b/>
          <w:bCs/>
          <w:sz w:val="24"/>
          <w:szCs w:val="28"/>
          <w:highlight w:val="none"/>
          <w:shd w:fill="auto" w:val="clear"/>
        </w:rPr>
      </w:pPr>
      <w:r>
        <w:rPr>
          <w:rFonts w:cs="Times New Roman" w:ascii="Times New Roman" w:hAnsi="Times New Roman"/>
          <w:b/>
          <w:bCs/>
          <w:sz w:val="24"/>
          <w:szCs w:val="28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8"/>
          <w:highlight w:val="none"/>
          <w:shd w:fill="auto" w:val="clear"/>
        </w:rPr>
      </w:pPr>
      <w:r>
        <w:rPr>
          <w:rFonts w:cs="Times New Roman" w:ascii="Times New Roman" w:hAnsi="Times New Roman"/>
          <w:b/>
          <w:bCs/>
          <w:sz w:val="24"/>
          <w:szCs w:val="28"/>
          <w:shd w:fill="auto" w:val="clear"/>
        </w:rPr>
      </w:r>
      <w:r>
        <w:br w:type="page"/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contextualSpacing/>
        <w:jc w:val="both"/>
        <w:outlineLvl w:val="1"/>
        <w:rPr>
          <w:rFonts w:ascii="Times New Roman" w:hAnsi="Times New Roman" w:cs="Times New Roman"/>
          <w:b/>
          <w:bCs/>
          <w:sz w:val="24"/>
          <w:szCs w:val="28"/>
          <w:highlight w:val="none"/>
          <w:shd w:fill="auto" w:val="clear"/>
        </w:rPr>
      </w:pPr>
      <w:r>
        <w:rPr>
          <w:rFonts w:cs="Times New Roman" w:ascii="Times New Roman" w:hAnsi="Times New Roman"/>
          <w:b/>
          <w:bCs/>
          <w:sz w:val="24"/>
          <w:szCs w:val="28"/>
          <w:shd w:fill="auto" w:val="clear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contextualSpacing/>
        <w:jc w:val="center"/>
        <w:outlineLvl w:val="1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8"/>
          <w:shd w:fill="auto" w:val="clear"/>
        </w:rPr>
        <w:t>Таблица 3.5. Результаты деятельности региональных операторов по транспортированию, обработке, утилизации, обезвреживанию, захоронению ТКО на территории Челябинской области в 2023 году</w:t>
      </w:r>
    </w:p>
    <w:tbl>
      <w:tblPr>
        <w:tblW w:w="14617" w:type="dxa"/>
        <w:jc w:val="left"/>
        <w:tblInd w:w="-13" w:type="dxa"/>
        <w:tblLayout w:type="fixed"/>
        <w:tblCellMar>
          <w:top w:w="28" w:type="dxa"/>
          <w:left w:w="2" w:type="dxa"/>
          <w:bottom w:w="28" w:type="dxa"/>
          <w:right w:w="0" w:type="dxa"/>
        </w:tblCellMar>
        <w:tblLook w:firstRow="1" w:noVBand="1" w:lastRow="0" w:firstColumn="1" w:lastColumn="0" w:noHBand="0" w:val="04a0"/>
      </w:tblPr>
      <w:tblGrid>
        <w:gridCol w:w="1714"/>
        <w:gridCol w:w="1726"/>
        <w:gridCol w:w="1697"/>
        <w:gridCol w:w="1841"/>
        <w:gridCol w:w="1558"/>
        <w:gridCol w:w="2128"/>
        <w:gridCol w:w="1415"/>
        <w:gridCol w:w="2536"/>
      </w:tblGrid>
      <w:tr>
        <w:trPr/>
        <w:tc>
          <w:tcPr>
            <w:tcW w:w="171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ind w:firstLine="57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Наименование кластера</w:t>
            </w:r>
          </w:p>
        </w:tc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транспортировано (факт)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обработано (факт)</w:t>
            </w:r>
          </w:p>
        </w:tc>
        <w:tc>
          <w:tcPr>
            <w:tcW w:w="1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Доля ТКО, направленных на обработку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утилизировано (факт)</w:t>
            </w:r>
          </w:p>
        </w:tc>
        <w:tc>
          <w:tcPr>
            <w:tcW w:w="21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right w:w="28" w:type="dxa"/>
            </w:tcMar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Доля ТКО, направленных на утилизацию (от транспортированных)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Захоронено (факт)</w:t>
            </w:r>
          </w:p>
        </w:tc>
        <w:tc>
          <w:tcPr>
            <w:tcW w:w="2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Доля ТКО, направленных на захоронение (от транспортированных)</w:t>
            </w:r>
          </w:p>
        </w:tc>
      </w:tr>
      <w:tr>
        <w:trPr/>
        <w:tc>
          <w:tcPr>
            <w:tcW w:w="171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1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процент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21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right w:w="28" w:type="dxa"/>
            </w:tcMar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ind w:hanging="57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процент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4"/>
              <w:widowControl w:val="false"/>
              <w:spacing w:lineRule="auto" w:line="240" w:before="0" w:after="0"/>
              <w:ind w:hanging="57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2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4"/>
              <w:widowControl w:val="false"/>
              <w:spacing w:lineRule="auto" w:line="240" w:before="0" w:after="0"/>
              <w:ind w:hanging="57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процент</w:t>
            </w:r>
          </w:p>
        </w:tc>
      </w:tr>
      <w:tr>
        <w:trPr>
          <w:trHeight w:val="152" w:hRule="atLeast"/>
        </w:trPr>
        <w:tc>
          <w:tcPr>
            <w:tcW w:w="17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Карабашский</w:t>
            </w:r>
          </w:p>
        </w:tc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103 604,51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9 130,73</w:t>
            </w:r>
          </w:p>
        </w:tc>
        <w:tc>
          <w:tcPr>
            <w:tcW w:w="1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8,81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5 140,79</w:t>
            </w:r>
          </w:p>
        </w:tc>
        <w:tc>
          <w:tcPr>
            <w:tcW w:w="21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right w:w="2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4,96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98 430,30</w:t>
            </w:r>
          </w:p>
        </w:tc>
        <w:tc>
          <w:tcPr>
            <w:tcW w:w="2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95,0</w:t>
            </w:r>
          </w:p>
        </w:tc>
      </w:tr>
      <w:tr>
        <w:trPr>
          <w:trHeight w:val="41" w:hRule="atLeast"/>
        </w:trPr>
        <w:tc>
          <w:tcPr>
            <w:tcW w:w="17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Горный</w:t>
            </w:r>
          </w:p>
        </w:tc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47 173,80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</w:t>
            </w:r>
          </w:p>
        </w:tc>
        <w:tc>
          <w:tcPr>
            <w:tcW w:w="1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</w:t>
            </w:r>
          </w:p>
        </w:tc>
        <w:tc>
          <w:tcPr>
            <w:tcW w:w="21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right w:w="2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47 173,80</w:t>
            </w:r>
          </w:p>
        </w:tc>
        <w:tc>
          <w:tcPr>
            <w:tcW w:w="2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100,0</w:t>
            </w:r>
          </w:p>
        </w:tc>
      </w:tr>
      <w:tr>
        <w:trPr>
          <w:trHeight w:val="41" w:hRule="atLeast"/>
        </w:trPr>
        <w:tc>
          <w:tcPr>
            <w:tcW w:w="17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Магнитогорский</w:t>
            </w:r>
          </w:p>
        </w:tc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136 292,98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135 263,34</w:t>
            </w:r>
          </w:p>
        </w:tc>
        <w:tc>
          <w:tcPr>
            <w:tcW w:w="1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99,24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13 102,72</w:t>
            </w:r>
          </w:p>
        </w:tc>
        <w:tc>
          <w:tcPr>
            <w:tcW w:w="21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right w:w="2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9,61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123 190,26</w:t>
            </w:r>
          </w:p>
        </w:tc>
        <w:tc>
          <w:tcPr>
            <w:tcW w:w="2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90,38</w:t>
            </w:r>
          </w:p>
        </w:tc>
      </w:tr>
      <w:tr>
        <w:trPr>
          <w:trHeight w:val="41" w:hRule="atLeast"/>
        </w:trPr>
        <w:tc>
          <w:tcPr>
            <w:tcW w:w="17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Челябинский</w:t>
            </w:r>
          </w:p>
        </w:tc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514 527,34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382 540,46</w:t>
            </w:r>
          </w:p>
        </w:tc>
        <w:tc>
          <w:tcPr>
            <w:tcW w:w="1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74,34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74 142,78</w:t>
            </w:r>
          </w:p>
        </w:tc>
        <w:tc>
          <w:tcPr>
            <w:tcW w:w="21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right w:w="2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14,40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439 522,08</w:t>
            </w:r>
          </w:p>
        </w:tc>
        <w:tc>
          <w:tcPr>
            <w:tcW w:w="2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85,42</w:t>
            </w:r>
          </w:p>
        </w:tc>
      </w:tr>
      <w:tr>
        <w:trPr>
          <w:trHeight w:val="41" w:hRule="atLeast"/>
        </w:trPr>
        <w:tc>
          <w:tcPr>
            <w:tcW w:w="17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Кыштымский</w:t>
            </w:r>
          </w:p>
        </w:tc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63 665,00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63 665,00</w:t>
            </w:r>
          </w:p>
        </w:tc>
        <w:tc>
          <w:tcPr>
            <w:tcW w:w="1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100,0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1 592,00 (утил)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25 905,00 (обез)</w:t>
            </w:r>
          </w:p>
        </w:tc>
        <w:tc>
          <w:tcPr>
            <w:tcW w:w="21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right w:w="2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2,5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36 168,00</w:t>
            </w:r>
          </w:p>
        </w:tc>
        <w:tc>
          <w:tcPr>
            <w:tcW w:w="2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56,81</w:t>
            </w:r>
          </w:p>
        </w:tc>
      </w:tr>
      <w:tr>
        <w:trPr>
          <w:trHeight w:val="41" w:hRule="atLeast"/>
        </w:trPr>
        <w:tc>
          <w:tcPr>
            <w:tcW w:w="17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Итого:</w:t>
            </w:r>
          </w:p>
        </w:tc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865 263,63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590 599,53</w:t>
            </w:r>
          </w:p>
        </w:tc>
        <w:tc>
          <w:tcPr>
            <w:tcW w:w="1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68,25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93 978,282</w:t>
            </w:r>
          </w:p>
        </w:tc>
        <w:tc>
          <w:tcPr>
            <w:tcW w:w="21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right w:w="2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10,86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744 484,44</w:t>
            </w:r>
          </w:p>
        </w:tc>
        <w:tc>
          <w:tcPr>
            <w:tcW w:w="2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86,04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contextualSpacing/>
        <w:jc w:val="both"/>
        <w:outlineLvl w:val="1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contextualSpacing/>
        <w:jc w:val="center"/>
        <w:outlineLvl w:val="1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8"/>
          <w:shd w:fill="auto" w:val="clear"/>
        </w:rPr>
        <w:t>Таблица 3.6. Результаты деятельности региональных операторов по транспортированию, обработке, утилизации, обезвреживанию, захоронению ТКО на территории Челябинской области в 2024 году (на 01.09.2024 г.)</w:t>
      </w:r>
    </w:p>
    <w:tbl>
      <w:tblPr>
        <w:tblW w:w="14617" w:type="dxa"/>
        <w:jc w:val="left"/>
        <w:tblInd w:w="-13" w:type="dxa"/>
        <w:tblLayout w:type="fixed"/>
        <w:tblCellMar>
          <w:top w:w="28" w:type="dxa"/>
          <w:left w:w="2" w:type="dxa"/>
          <w:bottom w:w="28" w:type="dxa"/>
          <w:right w:w="0" w:type="dxa"/>
        </w:tblCellMar>
        <w:tblLook w:firstRow="1" w:noVBand="1" w:lastRow="0" w:firstColumn="1" w:lastColumn="0" w:noHBand="0" w:val="04a0"/>
      </w:tblPr>
      <w:tblGrid>
        <w:gridCol w:w="1714"/>
        <w:gridCol w:w="1726"/>
        <w:gridCol w:w="1697"/>
        <w:gridCol w:w="1841"/>
        <w:gridCol w:w="1558"/>
        <w:gridCol w:w="2128"/>
        <w:gridCol w:w="1415"/>
        <w:gridCol w:w="2536"/>
      </w:tblGrid>
      <w:tr>
        <w:trPr/>
        <w:tc>
          <w:tcPr>
            <w:tcW w:w="171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ind w:firstLine="57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Наименование кластера</w:t>
            </w:r>
          </w:p>
        </w:tc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транспортировано (факт)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обработано (факт)</w:t>
            </w:r>
          </w:p>
        </w:tc>
        <w:tc>
          <w:tcPr>
            <w:tcW w:w="1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Доля ТКО, направленных на обработку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утилизировано (факт)</w:t>
            </w:r>
          </w:p>
        </w:tc>
        <w:tc>
          <w:tcPr>
            <w:tcW w:w="21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right w:w="28" w:type="dxa"/>
            </w:tcMar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Доля ТКО, направленных на утилизацию (от транспортированных)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Захоронено (факт)</w:t>
            </w:r>
          </w:p>
        </w:tc>
        <w:tc>
          <w:tcPr>
            <w:tcW w:w="2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Доля ТКО, направленных на захоронение (от транспортированных)</w:t>
            </w:r>
          </w:p>
        </w:tc>
      </w:tr>
      <w:tr>
        <w:trPr>
          <w:trHeight w:val="41" w:hRule="atLeast"/>
        </w:trPr>
        <w:tc>
          <w:tcPr>
            <w:tcW w:w="171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</w:r>
          </w:p>
        </w:tc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1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процент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21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right w:w="28" w:type="dxa"/>
            </w:tcMar>
            <w:vAlign w:val="center"/>
          </w:tcPr>
          <w:p>
            <w:pPr>
              <w:pStyle w:val="Style24"/>
              <w:widowControl w:val="false"/>
              <w:spacing w:lineRule="auto" w:line="240" w:before="0" w:after="0"/>
              <w:ind w:hanging="57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процент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4"/>
              <w:widowControl w:val="false"/>
              <w:spacing w:lineRule="auto" w:line="240" w:before="0" w:after="0"/>
              <w:ind w:hanging="57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тонн</w:t>
            </w:r>
          </w:p>
        </w:tc>
        <w:tc>
          <w:tcPr>
            <w:tcW w:w="2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Style24"/>
              <w:widowControl w:val="false"/>
              <w:spacing w:lineRule="auto" w:line="240" w:before="0" w:after="0"/>
              <w:ind w:hanging="57"/>
              <w:contextualSpacing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процент</w:t>
            </w:r>
          </w:p>
        </w:tc>
      </w:tr>
      <w:tr>
        <w:trPr>
          <w:trHeight w:val="41" w:hRule="atLeast"/>
        </w:trPr>
        <w:tc>
          <w:tcPr>
            <w:tcW w:w="17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Карабашский</w:t>
            </w:r>
          </w:p>
        </w:tc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89 712,03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234,33</w:t>
            </w:r>
          </w:p>
        </w:tc>
        <w:tc>
          <w:tcPr>
            <w:tcW w:w="1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0,3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7,58</w:t>
            </w:r>
          </w:p>
        </w:tc>
        <w:tc>
          <w:tcPr>
            <w:tcW w:w="21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right w:w="2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0,0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98 430,30</w:t>
            </w:r>
          </w:p>
        </w:tc>
        <w:tc>
          <w:tcPr>
            <w:tcW w:w="2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100,0</w:t>
            </w:r>
          </w:p>
        </w:tc>
      </w:tr>
      <w:tr>
        <w:trPr>
          <w:trHeight w:val="41" w:hRule="atLeast"/>
        </w:trPr>
        <w:tc>
          <w:tcPr>
            <w:tcW w:w="17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Горный</w:t>
            </w:r>
          </w:p>
        </w:tc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32 060,60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</w:t>
            </w:r>
          </w:p>
        </w:tc>
        <w:tc>
          <w:tcPr>
            <w:tcW w:w="1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</w:t>
            </w:r>
          </w:p>
        </w:tc>
        <w:tc>
          <w:tcPr>
            <w:tcW w:w="21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right w:w="2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0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32 060,60</w:t>
            </w:r>
          </w:p>
        </w:tc>
        <w:tc>
          <w:tcPr>
            <w:tcW w:w="2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100,0</w:t>
            </w:r>
          </w:p>
        </w:tc>
      </w:tr>
      <w:tr>
        <w:trPr>
          <w:trHeight w:val="41" w:hRule="atLeast"/>
        </w:trPr>
        <w:tc>
          <w:tcPr>
            <w:tcW w:w="17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Магнитогорский</w:t>
            </w:r>
          </w:p>
        </w:tc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99 587,24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99 587,24</w:t>
            </w:r>
          </w:p>
        </w:tc>
        <w:tc>
          <w:tcPr>
            <w:tcW w:w="1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100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13 190,29</w:t>
            </w:r>
          </w:p>
        </w:tc>
        <w:tc>
          <w:tcPr>
            <w:tcW w:w="21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right w:w="2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13,2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86 348,23</w:t>
            </w:r>
          </w:p>
        </w:tc>
        <w:tc>
          <w:tcPr>
            <w:tcW w:w="2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86,7</w:t>
            </w:r>
          </w:p>
        </w:tc>
      </w:tr>
      <w:tr>
        <w:trPr>
          <w:trHeight w:val="41" w:hRule="atLeast"/>
        </w:trPr>
        <w:tc>
          <w:tcPr>
            <w:tcW w:w="17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Челябинский</w:t>
            </w:r>
          </w:p>
        </w:tc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373 250,68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293 155,85</w:t>
            </w:r>
          </w:p>
        </w:tc>
        <w:tc>
          <w:tcPr>
            <w:tcW w:w="1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78,5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56 958,15</w:t>
            </w:r>
          </w:p>
        </w:tc>
        <w:tc>
          <w:tcPr>
            <w:tcW w:w="21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right w:w="2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15,3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317 250,94</w:t>
            </w:r>
          </w:p>
        </w:tc>
        <w:tc>
          <w:tcPr>
            <w:tcW w:w="2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85,0</w:t>
            </w:r>
          </w:p>
        </w:tc>
      </w:tr>
      <w:tr>
        <w:trPr>
          <w:trHeight w:val="41" w:hRule="atLeast"/>
        </w:trPr>
        <w:tc>
          <w:tcPr>
            <w:tcW w:w="17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Кыштымский</w:t>
            </w:r>
          </w:p>
        </w:tc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40 551,14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40 551,14</w:t>
            </w:r>
          </w:p>
        </w:tc>
        <w:tc>
          <w:tcPr>
            <w:tcW w:w="1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100,0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994,17 (утил)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16 182,1 (обез</w:t>
            </w: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)</w:t>
            </w:r>
          </w:p>
        </w:tc>
        <w:tc>
          <w:tcPr>
            <w:tcW w:w="21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right w:w="2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2,5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23 374,87</w:t>
            </w:r>
          </w:p>
        </w:tc>
        <w:tc>
          <w:tcPr>
            <w:tcW w:w="2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57,6</w:t>
            </w:r>
          </w:p>
        </w:tc>
      </w:tr>
      <w:tr>
        <w:trPr>
          <w:trHeight w:val="41" w:hRule="atLeast"/>
        </w:trPr>
        <w:tc>
          <w:tcPr>
            <w:tcW w:w="17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Итого:</w:t>
            </w:r>
          </w:p>
        </w:tc>
        <w:tc>
          <w:tcPr>
            <w:tcW w:w="17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635 156,70</w:t>
            </w:r>
          </w:p>
        </w:tc>
        <w:tc>
          <w:tcPr>
            <w:tcW w:w="1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433 528,6</w:t>
            </w:r>
          </w:p>
        </w:tc>
        <w:tc>
          <w:tcPr>
            <w:tcW w:w="18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68,3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87 332,29</w:t>
            </w:r>
          </w:p>
        </w:tc>
        <w:tc>
          <w:tcPr>
            <w:tcW w:w="21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right w:w="2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11,2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548 782,44</w:t>
            </w:r>
          </w:p>
        </w:tc>
        <w:tc>
          <w:tcPr>
            <w:tcW w:w="2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hd w:fill="auto" w:val="clear"/>
              </w:rPr>
              <w:t>86,4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20"/>
          <w:tab w:val="left" w:pos="1134" w:leader="none"/>
          <w:tab w:val="left" w:pos="1418" w:leader="none"/>
        </w:tabs>
        <w:spacing w:lineRule="auto" w:line="240" w:before="0" w:after="0"/>
        <w:ind w:firstLine="709"/>
        <w:contextualSpacing/>
        <w:jc w:val="both"/>
        <w:outlineLvl w:val="1"/>
        <w:rPr>
          <w:highlight w:val="none"/>
          <w:shd w:fill="auto" w:val="clear"/>
        </w:rPr>
      </w:pPr>
      <w:r>
        <w:rPr>
          <w:shd w:fill="auto" w:val="clear"/>
        </w:rPr>
      </w:r>
    </w:p>
    <w:sectPr>
      <w:footerReference w:type="default" r:id="rId2"/>
      <w:type w:val="nextPage"/>
      <w:pgSz w:orient="landscape" w:w="16838" w:h="11906"/>
      <w:pgMar w:left="1417" w:right="850" w:gutter="0" w:header="0" w:top="1134" w:footer="1134" w:bottom="1701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Times New Roman CYR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59" w:before="0" w:after="160"/>
      <w:jc w:val="left"/>
      <w:rPr/>
    </w:pPr>
    <w:r>
      <w:rPr/>
    </w:r>
  </w:p>
</w:ftr>
</file>

<file path=word/settings.xml><?xml version="1.0" encoding="utf-8"?>
<w:settings xmlns:w="http://schemas.openxmlformats.org/wordprocessingml/2006/main">
  <w:zoom w:percent="65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5302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Абзац списка Знак"/>
    <w:uiPriority w:val="34"/>
    <w:qFormat/>
    <w:locked/>
    <w:rsid w:val="00a8684f"/>
    <w:rPr/>
  </w:style>
  <w:style w:type="character" w:styleId="Style15" w:customStyle="1">
    <w:name w:val="Верхний колонтитул Знак"/>
    <w:basedOn w:val="DefaultParagraphFont"/>
    <w:uiPriority w:val="99"/>
    <w:qFormat/>
    <w:rsid w:val="004b71bb"/>
    <w:rPr/>
  </w:style>
  <w:style w:type="character" w:styleId="Style16" w:customStyle="1">
    <w:name w:val="Колонтитул_"/>
    <w:basedOn w:val="DefaultParagraphFont"/>
    <w:qFormat/>
    <w:rsid w:val="004b71bb"/>
    <w:rPr>
      <w:rFonts w:ascii="Times New Roman" w:hAnsi="Times New Roman" w:eastAsia="Times New Roman" w:cs="Times New Roman"/>
      <w:sz w:val="18"/>
      <w:szCs w:val="18"/>
      <w:shd w:fill="FFFFFF" w:val="clear"/>
    </w:rPr>
  </w:style>
  <w:style w:type="character" w:styleId="11pt" w:customStyle="1">
    <w:name w:val="Колонтитул + 11 pt;Не полужирный"/>
    <w:basedOn w:val="Style16"/>
    <w:qFormat/>
    <w:rsid w:val="004b71bb"/>
    <w:rPr>
      <w:rFonts w:ascii="Times New Roman" w:hAnsi="Times New Roman" w:eastAsia="Times New Roman" w:cs="Times New Roman"/>
      <w:color w:val="000000"/>
      <w:spacing w:val="0"/>
      <w:w w:val="100"/>
      <w:sz w:val="22"/>
      <w:szCs w:val="22"/>
      <w:shd w:fill="FFFFFF" w:val="clear"/>
      <w:lang w:val="ru-RU" w:eastAsia="ru-RU" w:bidi="ru-RU"/>
    </w:rPr>
  </w:style>
  <w:style w:type="character" w:styleId="Style17" w:customStyle="1">
    <w:name w:val="Нижний колонтитул Знак"/>
    <w:basedOn w:val="DefaultParagraphFont"/>
    <w:uiPriority w:val="99"/>
    <w:qFormat/>
    <w:rsid w:val="00ad67c9"/>
    <w:rPr/>
  </w:style>
  <w:style w:type="character" w:styleId="Style18" w:customStyle="1">
    <w:name w:val="Текст выноски Знак"/>
    <w:basedOn w:val="DefaultParagraphFont"/>
    <w:uiPriority w:val="99"/>
    <w:semiHidden/>
    <w:qFormat/>
    <w:rsid w:val="005a6cf9"/>
    <w:rPr>
      <w:rFonts w:ascii="Segoe UI" w:hAnsi="Segoe UI" w:cs="Segoe UI"/>
      <w:sz w:val="18"/>
      <w:szCs w:val="18"/>
    </w:rPr>
  </w:style>
  <w:style w:type="character" w:styleId="Apple-converted-space" w:customStyle="1">
    <w:name w:val="apple-converted-space"/>
    <w:basedOn w:val="DefaultParagraphFont"/>
    <w:qFormat/>
    <w:rsid w:val="00eb607c"/>
    <w:rPr/>
  </w:style>
  <w:style w:type="character" w:styleId="Emphasis">
    <w:name w:val="Emphasis"/>
    <w:qFormat/>
    <w:rPr>
      <w:i/>
      <w:iCs/>
    </w:rPr>
  </w:style>
  <w:style w:type="character" w:styleId="Hyperlink" w:customStyle="1">
    <w:name w:val="Hyperlink"/>
    <w:rPr>
      <w:color w:val="000080"/>
      <w:u w:val="single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1" w:customStyle="1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Title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istParagraph">
    <w:name w:val="List Paragraph"/>
    <w:basedOn w:val="Normal"/>
    <w:uiPriority w:val="34"/>
    <w:qFormat/>
    <w:rsid w:val="00a8684f"/>
    <w:pPr>
      <w:spacing w:before="0" w:after="160"/>
      <w:ind w:left="720"/>
      <w:contextualSpacing/>
    </w:pPr>
    <w:rPr/>
  </w:style>
  <w:style w:type="paragraph" w:styleId="Style21" w:customStyle="1">
    <w:name w:val="Верхний и нижний колонтитулы"/>
    <w:basedOn w:val="Normal"/>
    <w:qFormat/>
    <w:pPr/>
    <w:rPr/>
  </w:style>
  <w:style w:type="paragraph" w:styleId="Style22" w:customStyle="1">
    <w:name w:val="Колонтитул"/>
    <w:basedOn w:val="Normal"/>
    <w:qFormat/>
    <w:rsid w:val="004b71bb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Header">
    <w:name w:val="Header"/>
    <w:basedOn w:val="Normal"/>
    <w:uiPriority w:val="99"/>
    <w:unhideWhenUsed/>
    <w:rsid w:val="004b71bb"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rsid w:val="00ad67c9"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5a6cf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ff4eb4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qFormat/>
    <w:rsid w:val="00165357"/>
    <w:pPr>
      <w:widowControl w:val="false"/>
      <w:bidi w:val="0"/>
      <w:spacing w:before="0" w:after="0"/>
      <w:jc w:val="left"/>
    </w:pPr>
    <w:rPr>
      <w:rFonts w:ascii="Calibri" w:hAnsi="Calibri" w:eastAsia="Times New Roman" w:cs="Calibri"/>
      <w:color w:val="00000A"/>
      <w:kern w:val="0"/>
      <w:sz w:val="22"/>
      <w:szCs w:val="20"/>
      <w:lang w:eastAsia="ru-RU" w:val="ru-RU" w:bidi="ar-SA"/>
    </w:rPr>
  </w:style>
  <w:style w:type="paragraph" w:styleId="Style23" w:customStyle="1">
    <w:name w:val="Содержимое врезки"/>
    <w:basedOn w:val="Normal"/>
    <w:qFormat/>
    <w:pPr/>
    <w:rPr/>
  </w:style>
  <w:style w:type="paragraph" w:styleId="Style24" w:customStyle="1">
    <w:name w:val="Содержимое таблицы"/>
    <w:basedOn w:val="Normal"/>
    <w:uiPriority w:val="99"/>
    <w:qFormat/>
    <w:pPr>
      <w:suppressLineNumbers/>
    </w:pPr>
    <w:rPr/>
  </w:style>
  <w:style w:type="paragraph" w:styleId="Style25" w:customStyle="1">
    <w:name w:val="Заголовок таблицы"/>
    <w:basedOn w:val="Style24"/>
    <w:qFormat/>
    <w:pPr>
      <w:jc w:val="center"/>
    </w:pPr>
    <w:rPr>
      <w:b/>
      <w:bCs/>
    </w:rPr>
  </w:style>
  <w:style w:type="paragraph" w:styleId="Style26" w:customStyle="1">
    <w:name w:val="Прижатый влево"/>
    <w:basedOn w:val="Normal"/>
    <w:next w:val="Normal"/>
    <w:qFormat/>
    <w:pPr>
      <w:widowControl w:val="false"/>
      <w:suppressAutoHyphens w:val="false"/>
      <w:spacing w:lineRule="auto" w:line="240" w:before="0" w:after="0"/>
    </w:pPr>
    <w:rPr>
      <w:rFonts w:ascii="Times New Roman CYR" w:hAnsi="Times New Roman CYR" w:eastAsia="" w:cs="Times New Roman CYR" w:eastAsiaTheme="minorEastAsia"/>
      <w:sz w:val="24"/>
      <w:szCs w:val="24"/>
    </w:rPr>
  </w:style>
  <w:style w:type="paragraph" w:styleId="Style27" w:customStyle="1">
    <w:name w:val="Нормальный (таблица)"/>
    <w:basedOn w:val="Normal"/>
    <w:next w:val="Normal"/>
    <w:qFormat/>
    <w:pPr>
      <w:widowControl w:val="false"/>
      <w:suppressAutoHyphens w:val="false"/>
      <w:spacing w:lineRule="auto" w:line="240" w:before="0" w:after="0"/>
      <w:jc w:val="both"/>
    </w:pPr>
    <w:rPr>
      <w:rFonts w:ascii="Times New Roman CYR" w:hAnsi="Times New Roman CYR" w:eastAsia="" w:cs="Times New Roman CYR" w:eastAsiaTheme="minorEastAsia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39"/>
    <w:rsid w:val="00be3cc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14B27-D3DC-4A98-9ECB-72E70C702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Application>LibreOffice/7.6.4.1$Windows_X86_64 LibreOffice_project/e19e193f88cd6c0525a17fb7a176ed8e6a3e2aa1</Application>
  <AppVersion>15.0000</AppVersion>
  <DocSecurity>0</DocSecurity>
  <Pages>8</Pages>
  <Words>2005</Words>
  <Characters>13426</Characters>
  <CharactersWithSpaces>14889</CharactersWithSpaces>
  <Paragraphs>556</Paragraphs>
  <Company>КонсультантПлюс Версия 4017.00.99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2023-09-05T11:47:00Z</dcterms:created>
  <dc:creator>Марина С. Шаршакова</dc:creator>
  <dc:description/>
  <dc:language>ru-RU</dc:language>
  <cp:lastModifiedBy/>
  <cp:lastPrinted>2024-09-04T09:05:00Z</cp:lastPrinted>
  <dcterms:modified xsi:type="dcterms:W3CDTF">2024-10-31T11:02:54Z</dcterms:modified>
  <cp:revision>43</cp:revision>
  <dc:subject/>
  <dc:title>Постановление Правительства Челябинской области от 02.11.2017 N 573-П(ред. от 24.09.2018)"О государственной программе Челябинской области "Охрана окружающей среды Челябинской области" на 2018 - 2025 годы и признании утратившими силу некоторых постановлений Правительства Челябинской области"(вместе с "Государственной программой "Охрана окружающей среды Челябинской области" на 2018 - 2025 годы")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